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F413" w14:textId="77777777" w:rsidR="00BC3362" w:rsidRPr="00F30DE8" w:rsidRDefault="00BC3362" w:rsidP="00BC3362">
      <w:pPr>
        <w:tabs>
          <w:tab w:val="clear" w:pos="1440"/>
        </w:tabs>
        <w:autoSpaceDE w:val="0"/>
        <w:autoSpaceDN w:val="0"/>
        <w:spacing w:after="0" w:line="240" w:lineRule="auto"/>
        <w:jc w:val="center"/>
        <w:rPr>
          <w:rFonts w:eastAsia="Times New Roman"/>
          <w:b/>
          <w:kern w:val="0"/>
          <w14:ligatures w14:val="none"/>
        </w:rPr>
      </w:pPr>
      <w:r w:rsidRPr="00F30DE8">
        <w:rPr>
          <w:rFonts w:eastAsia="Times New Roman"/>
          <w:b/>
          <w:kern w:val="0"/>
          <w14:ligatures w14:val="none"/>
        </w:rPr>
        <w:t>BEFORE THE</w:t>
      </w:r>
    </w:p>
    <w:p w14:paraId="315F4343" w14:textId="77777777" w:rsidR="00BC3362" w:rsidRPr="00F30DE8" w:rsidRDefault="00BC3362" w:rsidP="00BC3362">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F30DE8">
        <w:rPr>
          <w:rFonts w:eastAsia="Times New Roman"/>
          <w:b/>
          <w:bCs/>
          <w:spacing w:val="-3"/>
          <w:kern w:val="0"/>
          <w14:ligatures w14:val="none"/>
        </w:rPr>
        <w:t>PENNSYLVANIA PUBLIC UTILITY COMMISSION</w:t>
      </w:r>
    </w:p>
    <w:p w14:paraId="2EA42A52" w14:textId="77777777" w:rsidR="00BC3362" w:rsidRPr="00F30DE8" w:rsidRDefault="00BC3362" w:rsidP="00BC3362">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6AF8627B" w14:textId="77777777" w:rsidR="00BC3362" w:rsidRPr="00F30DE8" w:rsidRDefault="00BC3362" w:rsidP="00BC3362">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55E6E897" w14:textId="77777777" w:rsidR="00BC3362" w:rsidRPr="00F30DE8" w:rsidRDefault="00BC3362" w:rsidP="00BC3362">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1675D5E1" w14:textId="77777777" w:rsidR="00BC3362" w:rsidRPr="00F30DE8" w:rsidRDefault="00BC3362" w:rsidP="00BC3362">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 xml:space="preserve">Deborah </w:t>
      </w:r>
      <w:proofErr w:type="spellStart"/>
      <w:r w:rsidRPr="00F30DE8">
        <w:rPr>
          <w:rFonts w:eastAsia="Calibri"/>
          <w:spacing w:val="-3"/>
          <w:kern w:val="0"/>
          <w14:ligatures w14:val="none"/>
        </w:rPr>
        <w:t>Engisch</w:t>
      </w:r>
      <w:proofErr w:type="spellEnd"/>
      <w:r w:rsidRPr="00F30DE8">
        <w:rPr>
          <w:rFonts w:eastAsia="Calibri"/>
          <w:spacing w:val="-3"/>
          <w:kern w:val="0"/>
          <w14:ligatures w14:val="none"/>
        </w:rPr>
        <w:t>-Platt and Kim Platt</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fldChar w:fldCharType="begin"/>
      </w:r>
      <w:r w:rsidRPr="00F30DE8">
        <w:rPr>
          <w:rFonts w:eastAsia="Calibri"/>
          <w:spacing w:val="-3"/>
          <w:kern w:val="0"/>
          <w14:ligatures w14:val="none"/>
        </w:rPr>
        <w:instrText>fillin "Complainant's name" \d ""</w:instrText>
      </w:r>
      <w:r w:rsidRPr="00F30DE8">
        <w:rPr>
          <w:rFonts w:eastAsia="Calibri"/>
          <w:spacing w:val="-3"/>
          <w:kern w:val="0"/>
          <w14:ligatures w14:val="none"/>
        </w:rPr>
        <w:fldChar w:fldCharType="end"/>
      </w:r>
      <w:r w:rsidRPr="00F30DE8">
        <w:rPr>
          <w:rFonts w:eastAsia="Calibri"/>
          <w:spacing w:val="-3"/>
          <w:kern w:val="0"/>
          <w14:ligatures w14:val="none"/>
        </w:rPr>
        <w:t>:</w:t>
      </w:r>
    </w:p>
    <w:p w14:paraId="419AD73B" w14:textId="77777777" w:rsidR="00BC3362" w:rsidRPr="00F30DE8" w:rsidRDefault="00BC3362" w:rsidP="00BC3362">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6C3FB8A4" w14:textId="77777777" w:rsidR="00BC3362" w:rsidRPr="00F30DE8" w:rsidRDefault="00BC3362" w:rsidP="00BC3362">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t>v.</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r w:rsidRPr="00F30DE8">
        <w:rPr>
          <w:rFonts w:eastAsia="Calibri"/>
          <w:spacing w:val="-3"/>
          <w:kern w:val="0"/>
          <w14:ligatures w14:val="none"/>
        </w:rPr>
        <w:tab/>
      </w:r>
      <w:r w:rsidRPr="00F30DE8">
        <w:rPr>
          <w:rFonts w:eastAsia="Calibri"/>
          <w:spacing w:val="-3"/>
          <w:kern w:val="0"/>
          <w14:ligatures w14:val="none"/>
        </w:rPr>
        <w:tab/>
        <w:t>C-2019-3013745</w:t>
      </w:r>
    </w:p>
    <w:p w14:paraId="639B4CFC" w14:textId="77777777" w:rsidR="00BC3362" w:rsidRPr="00F30DE8" w:rsidRDefault="00BC3362" w:rsidP="00BC3362">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57E53E7B" w14:textId="77777777" w:rsidR="00BC3362" w:rsidRPr="00F30DE8" w:rsidRDefault="00BC3362" w:rsidP="00BC3362">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Metropolitan Edison Company</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109AD3D9" w14:textId="77777777" w:rsidR="00BC3362" w:rsidRPr="00F30DE8" w:rsidRDefault="00BC3362" w:rsidP="00BC3362">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1EBDD32C" w14:textId="77777777" w:rsidR="00BC3362" w:rsidRPr="00F30DE8" w:rsidRDefault="00BC3362" w:rsidP="00BC3362">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735B0052" w14:textId="77777777" w:rsidR="00BC3362" w:rsidRPr="00F30DE8" w:rsidRDefault="00BC3362" w:rsidP="00BC3362">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0528329E" w14:textId="77777777" w:rsidR="00BC3362" w:rsidRPr="00F30DE8" w:rsidRDefault="00BC3362" w:rsidP="00BC3362">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F30DE8">
        <w:rPr>
          <w:rFonts w:eastAsia="Times New Roman"/>
          <w:b/>
          <w:bCs/>
          <w:spacing w:val="-3"/>
          <w:kern w:val="0"/>
          <w14:ligatures w14:val="none"/>
        </w:rPr>
        <w:t xml:space="preserve">INTERIM ORDER ON </w:t>
      </w:r>
    </w:p>
    <w:p w14:paraId="722A8F5E" w14:textId="03D84DA3" w:rsidR="00BC3362" w:rsidRPr="00F30DE8" w:rsidRDefault="00BC3362" w:rsidP="00BC3362">
      <w:pPr>
        <w:tabs>
          <w:tab w:val="clear" w:pos="1440"/>
          <w:tab w:val="center" w:pos="4680"/>
        </w:tabs>
        <w:suppressAutoHyphens/>
        <w:autoSpaceDE w:val="0"/>
        <w:autoSpaceDN w:val="0"/>
        <w:spacing w:after="0" w:line="240" w:lineRule="auto"/>
        <w:jc w:val="center"/>
        <w:rPr>
          <w:rFonts w:eastAsia="Times New Roman"/>
          <w:b/>
          <w:bCs/>
          <w:spacing w:val="-3"/>
          <w:kern w:val="0"/>
          <w:u w:val="single"/>
          <w14:ligatures w14:val="none"/>
        </w:rPr>
      </w:pPr>
      <w:r>
        <w:rPr>
          <w:rFonts w:eastAsia="Times New Roman"/>
          <w:b/>
          <w:bCs/>
          <w:spacing w:val="-3"/>
          <w:kern w:val="0"/>
          <w:u w:val="single"/>
          <w14:ligatures w14:val="none"/>
        </w:rPr>
        <w:t xml:space="preserve">DENYING </w:t>
      </w:r>
      <w:r w:rsidR="009D35E3">
        <w:rPr>
          <w:rFonts w:eastAsia="Times New Roman"/>
          <w:b/>
          <w:bCs/>
          <w:spacing w:val="-3"/>
          <w:kern w:val="0"/>
          <w:u w:val="single"/>
          <w14:ligatures w14:val="none"/>
        </w:rPr>
        <w:t xml:space="preserve">IN PART </w:t>
      </w:r>
      <w:r>
        <w:rPr>
          <w:rFonts w:eastAsia="Times New Roman"/>
          <w:b/>
          <w:bCs/>
          <w:spacing w:val="-3"/>
          <w:kern w:val="0"/>
          <w:u w:val="single"/>
          <w14:ligatures w14:val="none"/>
        </w:rPr>
        <w:t>MOTION FOR AN EXTENSION OF TIME</w:t>
      </w:r>
    </w:p>
    <w:p w14:paraId="6B5F92C7" w14:textId="77777777" w:rsidR="00792796" w:rsidRDefault="00792796"/>
    <w:p w14:paraId="386EBE30" w14:textId="00E9C8B0" w:rsidR="00BC3362" w:rsidRDefault="00BC3362" w:rsidP="00D73DCE">
      <w:pPr>
        <w:spacing w:after="0"/>
        <w:rPr>
          <w:rFonts w:eastAsia="Times New Roman"/>
          <w:kern w:val="0"/>
          <w14:ligatures w14:val="none"/>
        </w:rPr>
      </w:pPr>
      <w:r>
        <w:rPr>
          <w:rFonts w:eastAsia="Times New Roman"/>
          <w:kern w:val="0"/>
          <w14:ligatures w14:val="none"/>
        </w:rPr>
        <w:tab/>
      </w:r>
      <w:r w:rsidRPr="00F30DE8">
        <w:rPr>
          <w:rFonts w:eastAsia="Times New Roman"/>
          <w:kern w:val="0"/>
          <w14:ligatures w14:val="none"/>
        </w:rPr>
        <w:t xml:space="preserve">On October 17, 2019, Deborah </w:t>
      </w:r>
      <w:proofErr w:type="spellStart"/>
      <w:r w:rsidRPr="00F30DE8">
        <w:rPr>
          <w:rFonts w:eastAsia="Times New Roman"/>
          <w:kern w:val="0"/>
          <w14:ligatures w14:val="none"/>
        </w:rPr>
        <w:t>Engisch</w:t>
      </w:r>
      <w:proofErr w:type="spellEnd"/>
      <w:r w:rsidRPr="00F30DE8">
        <w:rPr>
          <w:rFonts w:eastAsia="Times New Roman"/>
          <w:kern w:val="0"/>
          <w14:ligatures w14:val="none"/>
        </w:rPr>
        <w:t>-Platt and Kim Platt filed a formal complaint with the Pennsylvania Public Utility Commission against Metropolitan Edison Company (Met-Ed</w:t>
      </w:r>
      <w:r>
        <w:rPr>
          <w:rFonts w:eastAsia="Times New Roman"/>
          <w:kern w:val="0"/>
          <w14:ligatures w14:val="none"/>
        </w:rPr>
        <w:t xml:space="preserve"> or Company)</w:t>
      </w:r>
      <w:r w:rsidRPr="00F30DE8">
        <w:rPr>
          <w:rFonts w:eastAsia="Times New Roman"/>
          <w:kern w:val="0"/>
          <w14:ligatures w14:val="none"/>
        </w:rPr>
        <w:t xml:space="preserve">.  In their complaint, the Platts averred that they are having a reliability, </w:t>
      </w:r>
      <w:proofErr w:type="gramStart"/>
      <w:r w:rsidRPr="00F30DE8">
        <w:rPr>
          <w:rFonts w:eastAsia="Times New Roman"/>
          <w:kern w:val="0"/>
          <w14:ligatures w14:val="none"/>
        </w:rPr>
        <w:t>safety</w:t>
      </w:r>
      <w:proofErr w:type="gramEnd"/>
      <w:r w:rsidRPr="00F30DE8">
        <w:rPr>
          <w:rFonts w:eastAsia="Times New Roman"/>
          <w:kern w:val="0"/>
          <w14:ligatures w14:val="none"/>
        </w:rPr>
        <w:t xml:space="preserve"> or quality problem with their utility service because they do not want a smart meter installed at their home due to various adverse health effects.  </w:t>
      </w:r>
    </w:p>
    <w:p w14:paraId="73E81613" w14:textId="77777777" w:rsidR="00D73DCE" w:rsidRDefault="00D73DCE" w:rsidP="00D73DCE">
      <w:pPr>
        <w:spacing w:after="0"/>
        <w:rPr>
          <w:rFonts w:eastAsia="Times New Roman"/>
          <w:kern w:val="0"/>
          <w14:ligatures w14:val="none"/>
        </w:rPr>
      </w:pPr>
    </w:p>
    <w:p w14:paraId="4EECD28A" w14:textId="5852AD02" w:rsidR="00BC3362" w:rsidRDefault="00BC3362" w:rsidP="00D73DCE">
      <w:pPr>
        <w:spacing w:after="0"/>
      </w:pPr>
      <w:r>
        <w:rPr>
          <w:rFonts w:eastAsia="Times New Roman"/>
          <w:kern w:val="0"/>
          <w14:ligatures w14:val="none"/>
        </w:rPr>
        <w:tab/>
        <w:t xml:space="preserve">On November 14, 2023, the Commission lifted a general stay of smart meter proceedings and directed the Office of Administrative Law Judge to proceed with pending formal complaint proceedings.  </w:t>
      </w:r>
      <w:r>
        <w:t>By order entered on December 6, 2023, I directed the parties to confer and to submit joint status report which includes revised schedule for the exchange of written testimony or other proposal for further proceedings on or before February 7, 2024.  The Company filed a status report with a proposed litigation schedule.  The Platts did not file an alternative schedule.  Therefore, by interim order entered on February 14, 2024, I issued an order which adopted the Company’s proposed schedule which permitted the Platts to file supplemental direct written testimony on or before March 15, 2024.</w:t>
      </w:r>
    </w:p>
    <w:p w14:paraId="0C71C4B7" w14:textId="77777777" w:rsidR="00D73DCE" w:rsidRDefault="00D73DCE" w:rsidP="00D73DCE">
      <w:pPr>
        <w:spacing w:after="0"/>
      </w:pPr>
    </w:p>
    <w:p w14:paraId="5E87BE26" w14:textId="21AA7B03" w:rsidR="00231E72" w:rsidRDefault="00231E72">
      <w:r>
        <w:tab/>
        <w:t>On February 16, 2024</w:t>
      </w:r>
      <w:r w:rsidR="00081F45">
        <w:t xml:space="preserve">, the Platt’s filed a </w:t>
      </w:r>
      <w:r w:rsidR="00410CA1">
        <w:t>Motion for Extension for All Proceedings.  In their motion, the Platt’s request</w:t>
      </w:r>
      <w:r w:rsidR="00DB7848">
        <w:t xml:space="preserve"> a </w:t>
      </w:r>
      <w:proofErr w:type="gramStart"/>
      <w:r w:rsidR="00DB7848">
        <w:t>sixteen month</w:t>
      </w:r>
      <w:proofErr w:type="gramEnd"/>
      <w:r w:rsidR="00DB7848">
        <w:t xml:space="preserve"> extension of time.  </w:t>
      </w:r>
      <w:r w:rsidR="00BA44D7">
        <w:t xml:space="preserve">The purpose of the extension appears to be to permit them time to </w:t>
      </w:r>
      <w:r w:rsidR="00EC018A">
        <w:t xml:space="preserve">research and build a home </w:t>
      </w:r>
      <w:proofErr w:type="gramStart"/>
      <w:r w:rsidR="00EC018A">
        <w:t>in order to</w:t>
      </w:r>
      <w:proofErr w:type="gramEnd"/>
      <w:r w:rsidR="00EC018A">
        <w:t xml:space="preserve"> </w:t>
      </w:r>
      <w:r w:rsidR="00BA44D7">
        <w:t>relocate to Maine.</w:t>
      </w:r>
    </w:p>
    <w:p w14:paraId="0D537788" w14:textId="289142BB" w:rsidR="003D6BEA" w:rsidRDefault="000D4B36" w:rsidP="00D73DCE">
      <w:pPr>
        <w:spacing w:after="0"/>
      </w:pPr>
      <w:r>
        <w:lastRenderedPageBreak/>
        <w:tab/>
        <w:t>This matter has been stayed f</w:t>
      </w:r>
      <w:r w:rsidR="00AE57A7">
        <w:t xml:space="preserve">rom </w:t>
      </w:r>
      <w:r w:rsidR="00D1640B">
        <w:t xml:space="preserve">November 4, 2020, until November 14, 2023:  a period of three years. </w:t>
      </w:r>
      <w:r w:rsidR="00207F69">
        <w:t xml:space="preserve"> While the Platt’s suggest that they may relocate to Maine, their motion does not set forth any concrete steps they have taken in that process.  Further, the motion does not state that they attempted to contact the Company to </w:t>
      </w:r>
      <w:r w:rsidR="003D6BEA">
        <w:t>reach an agreement for a further stay of proceedings.</w:t>
      </w:r>
      <w:r w:rsidR="00D1640B">
        <w:t xml:space="preserve"> </w:t>
      </w:r>
      <w:r w:rsidR="00FC167C">
        <w:t>The Platt’s have had more than enough time to research and prepare for hearing or to make plans to relocate if they no longer wish to</w:t>
      </w:r>
      <w:r w:rsidR="009D35E3">
        <w:t xml:space="preserve"> reside at their current residence. </w:t>
      </w:r>
      <w:r w:rsidR="002A2821">
        <w:t xml:space="preserve"> </w:t>
      </w:r>
      <w:r w:rsidR="004D351C">
        <w:t>Their request for an accommodation regarding the litigation proceedings has already been addressed by providing for a schedule of written testimony rather than oral testimony at a hearing.</w:t>
      </w:r>
      <w:r w:rsidR="004D351C">
        <w:rPr>
          <w:rStyle w:val="FootnoteReference"/>
        </w:rPr>
        <w:footnoteReference w:id="1"/>
      </w:r>
    </w:p>
    <w:p w14:paraId="299758E7" w14:textId="77777777" w:rsidR="00D73DCE" w:rsidRDefault="00D73DCE" w:rsidP="00D73DCE">
      <w:pPr>
        <w:spacing w:after="0"/>
      </w:pPr>
    </w:p>
    <w:p w14:paraId="6F19CDB1" w14:textId="6A740A3A" w:rsidR="003D6BEA" w:rsidRDefault="003D6BEA" w:rsidP="00D73DCE">
      <w:pPr>
        <w:spacing w:after="0"/>
      </w:pPr>
      <w:r>
        <w:tab/>
      </w:r>
      <w:r w:rsidR="002A2821">
        <w:t>However, I will extend the litigation schedule by 30 days</w:t>
      </w:r>
      <w:r w:rsidR="00D22754">
        <w:t xml:space="preserve"> as set forth in the ordering paragraphs below.</w:t>
      </w:r>
    </w:p>
    <w:p w14:paraId="7F8C2CC9" w14:textId="77777777" w:rsidR="00D73DCE" w:rsidRDefault="00D73DCE" w:rsidP="00D73DCE">
      <w:pPr>
        <w:spacing w:after="0"/>
      </w:pPr>
    </w:p>
    <w:p w14:paraId="578218D4" w14:textId="77777777" w:rsidR="00D73DCE" w:rsidRDefault="00D73DCE" w:rsidP="00D73DCE">
      <w:pPr>
        <w:spacing w:after="0"/>
      </w:pPr>
    </w:p>
    <w:p w14:paraId="0BC42B27" w14:textId="1F4086B3" w:rsidR="000D4B36" w:rsidRDefault="00B97647" w:rsidP="00D73DCE">
      <w:pPr>
        <w:spacing w:after="0"/>
      </w:pPr>
      <w:r>
        <w:t xml:space="preserve"> </w:t>
      </w:r>
      <w:r w:rsidR="00F613E9">
        <w:tab/>
      </w:r>
      <w:r w:rsidR="00D22754">
        <w:t>THEREFORE,</w:t>
      </w:r>
    </w:p>
    <w:p w14:paraId="560E1065" w14:textId="77777777" w:rsidR="00D73DCE" w:rsidRDefault="00D73DCE" w:rsidP="00D73DCE">
      <w:pPr>
        <w:spacing w:after="0"/>
      </w:pPr>
    </w:p>
    <w:p w14:paraId="24799B67" w14:textId="58804E9E" w:rsidR="00D22754" w:rsidRDefault="00F613E9" w:rsidP="00D73DCE">
      <w:pPr>
        <w:spacing w:after="0"/>
      </w:pPr>
      <w:r>
        <w:tab/>
      </w:r>
      <w:r w:rsidR="00D22754">
        <w:t>IT IS ORDERED:</w:t>
      </w:r>
    </w:p>
    <w:p w14:paraId="4FFC93DD" w14:textId="77777777" w:rsidR="00D73DCE" w:rsidRDefault="00D73DCE" w:rsidP="00D73DCE">
      <w:pPr>
        <w:spacing w:after="0"/>
      </w:pPr>
    </w:p>
    <w:p w14:paraId="3D2BE095" w14:textId="4F1E6D7D" w:rsidR="00D73DCE" w:rsidRDefault="00D22754" w:rsidP="00D73DCE">
      <w:pPr>
        <w:pStyle w:val="ListParagraph"/>
        <w:numPr>
          <w:ilvl w:val="0"/>
          <w:numId w:val="45"/>
        </w:numPr>
        <w:spacing w:after="240" w:afterAutospacing="0"/>
      </w:pPr>
      <w:r>
        <w:t xml:space="preserve">That motion for an extension of time filed by the Platt’s in the above-captioned matter is denied in part and granted in </w:t>
      </w:r>
      <w:proofErr w:type="gramStart"/>
      <w:r>
        <w:t>part</w:t>
      </w:r>
      <w:proofErr w:type="gramEnd"/>
    </w:p>
    <w:p w14:paraId="78FEDECB" w14:textId="77777777" w:rsidR="00D73DCE" w:rsidRDefault="00D73DCE" w:rsidP="00D73DCE">
      <w:pPr>
        <w:spacing w:after="0"/>
      </w:pPr>
    </w:p>
    <w:p w14:paraId="05081201" w14:textId="33D0893B" w:rsidR="00087C65" w:rsidRDefault="00D22754" w:rsidP="00D73DCE">
      <w:pPr>
        <w:pStyle w:val="ListParagraph"/>
        <w:numPr>
          <w:ilvl w:val="0"/>
          <w:numId w:val="45"/>
        </w:numPr>
        <w:spacing w:after="0"/>
      </w:pPr>
      <w:r>
        <w:t xml:space="preserve">That </w:t>
      </w:r>
      <w:r w:rsidR="00087C65">
        <w:t>That the following procedural schedule will be adopted for this proceeding:</w:t>
      </w:r>
    </w:p>
    <w:tbl>
      <w:tblPr>
        <w:tblStyle w:val="TableGrid"/>
        <w:tblW w:w="0" w:type="auto"/>
        <w:tblLook w:val="04A0" w:firstRow="1" w:lastRow="0" w:firstColumn="1" w:lastColumn="0" w:noHBand="0" w:noVBand="1"/>
      </w:tblPr>
      <w:tblGrid>
        <w:gridCol w:w="4159"/>
        <w:gridCol w:w="4159"/>
      </w:tblGrid>
      <w:tr w:rsidR="00087C65" w14:paraId="12CA0412" w14:textId="77777777" w:rsidTr="00B74284">
        <w:trPr>
          <w:trHeight w:val="370"/>
        </w:trPr>
        <w:tc>
          <w:tcPr>
            <w:tcW w:w="4159" w:type="dxa"/>
          </w:tcPr>
          <w:p w14:paraId="21A77407" w14:textId="77777777" w:rsidR="00087C65" w:rsidRDefault="00087C65" w:rsidP="00B74284">
            <w:r>
              <w:t>Complainant’s Written Direct</w:t>
            </w:r>
          </w:p>
        </w:tc>
        <w:tc>
          <w:tcPr>
            <w:tcW w:w="4159" w:type="dxa"/>
          </w:tcPr>
          <w:p w14:paraId="301AE4D8" w14:textId="77777777" w:rsidR="00087C65" w:rsidRDefault="00087C65" w:rsidP="00B74284">
            <w:r>
              <w:t>March 30, 2020</w:t>
            </w:r>
          </w:p>
        </w:tc>
      </w:tr>
      <w:tr w:rsidR="00087C65" w14:paraId="7C0FBAE9" w14:textId="77777777" w:rsidTr="00B74284">
        <w:trPr>
          <w:trHeight w:val="370"/>
        </w:trPr>
        <w:tc>
          <w:tcPr>
            <w:tcW w:w="4159" w:type="dxa"/>
          </w:tcPr>
          <w:p w14:paraId="6B0AD298" w14:textId="77777777" w:rsidR="00087C65" w:rsidRDefault="00087C65" w:rsidP="00B74284">
            <w:r>
              <w:t>Complainant’s Supplemental Written Direct</w:t>
            </w:r>
          </w:p>
        </w:tc>
        <w:tc>
          <w:tcPr>
            <w:tcW w:w="4159" w:type="dxa"/>
          </w:tcPr>
          <w:p w14:paraId="193E09EE" w14:textId="5E656AA7" w:rsidR="00087C65" w:rsidRDefault="00087C65" w:rsidP="00B74284">
            <w:r>
              <w:t>April 15, 2024</w:t>
            </w:r>
          </w:p>
        </w:tc>
      </w:tr>
      <w:tr w:rsidR="00087C65" w14:paraId="2500EAEB" w14:textId="77777777" w:rsidTr="00B74284">
        <w:trPr>
          <w:trHeight w:val="370"/>
        </w:trPr>
        <w:tc>
          <w:tcPr>
            <w:tcW w:w="4159" w:type="dxa"/>
          </w:tcPr>
          <w:p w14:paraId="0282797B" w14:textId="77777777" w:rsidR="00087C65" w:rsidRDefault="00087C65" w:rsidP="00B74284">
            <w:r>
              <w:t>Company Rebuttal</w:t>
            </w:r>
          </w:p>
        </w:tc>
        <w:tc>
          <w:tcPr>
            <w:tcW w:w="4159" w:type="dxa"/>
          </w:tcPr>
          <w:p w14:paraId="627B0879" w14:textId="1ECFCEE4" w:rsidR="00087C65" w:rsidRDefault="00F62AEA" w:rsidP="00B74284">
            <w:r>
              <w:t>May</w:t>
            </w:r>
            <w:r w:rsidR="004D351C">
              <w:t xml:space="preserve"> 20</w:t>
            </w:r>
            <w:r w:rsidR="00087C65">
              <w:t>, 2024</w:t>
            </w:r>
          </w:p>
        </w:tc>
      </w:tr>
      <w:tr w:rsidR="00087C65" w14:paraId="0A0FCE49" w14:textId="77777777" w:rsidTr="00B74284">
        <w:trPr>
          <w:trHeight w:val="370"/>
        </w:trPr>
        <w:tc>
          <w:tcPr>
            <w:tcW w:w="4159" w:type="dxa"/>
          </w:tcPr>
          <w:p w14:paraId="2F410580" w14:textId="77777777" w:rsidR="00087C65" w:rsidRDefault="00087C65" w:rsidP="00B74284">
            <w:r>
              <w:t>Complainants’ Written Surrebuttal</w:t>
            </w:r>
          </w:p>
        </w:tc>
        <w:tc>
          <w:tcPr>
            <w:tcW w:w="4159" w:type="dxa"/>
          </w:tcPr>
          <w:p w14:paraId="6C7CC7F4" w14:textId="7CA43DEF" w:rsidR="00087C65" w:rsidRDefault="004D351C" w:rsidP="00B74284">
            <w:r>
              <w:t>June</w:t>
            </w:r>
            <w:r w:rsidR="00087C65">
              <w:t xml:space="preserve"> 17, 2024</w:t>
            </w:r>
          </w:p>
        </w:tc>
      </w:tr>
    </w:tbl>
    <w:p w14:paraId="1B6976B3" w14:textId="77777777" w:rsidR="00087C65" w:rsidRDefault="00087C65" w:rsidP="00087C65">
      <w:pPr>
        <w:spacing w:after="0"/>
      </w:pPr>
    </w:p>
    <w:p w14:paraId="37FB8300" w14:textId="2CBE9131" w:rsidR="00087C65" w:rsidRDefault="00087C65" w:rsidP="00087C65">
      <w:pPr>
        <w:spacing w:after="0"/>
      </w:pPr>
      <w:r>
        <w:lastRenderedPageBreak/>
        <w:tab/>
      </w:r>
      <w:r w:rsidR="00F613E9">
        <w:t>3</w:t>
      </w:r>
      <w:r>
        <w:t>.</w:t>
      </w:r>
      <w:r>
        <w:tab/>
        <w:t xml:space="preserve">Following the conclusion of the exchange of written testimony, a hearing to offer the written testimony into evidence and to address any outstanding issues will be scheduled for an available date in </w:t>
      </w:r>
      <w:r w:rsidR="00F3365D">
        <w:t>August or September</w:t>
      </w:r>
      <w:r>
        <w:t xml:space="preserve"> 2024.  </w:t>
      </w:r>
    </w:p>
    <w:p w14:paraId="7BC41F27" w14:textId="77777777" w:rsidR="00F613E9" w:rsidRDefault="00F613E9" w:rsidP="00087C65">
      <w:pPr>
        <w:spacing w:after="0"/>
      </w:pPr>
    </w:p>
    <w:p w14:paraId="5558E377" w14:textId="252745BD" w:rsidR="00F613E9" w:rsidRDefault="00F613E9" w:rsidP="00087C65">
      <w:pPr>
        <w:spacing w:after="0"/>
      </w:pPr>
      <w:r>
        <w:tab/>
        <w:t>4.</w:t>
      </w:r>
      <w:r>
        <w:tab/>
        <w:t xml:space="preserve">The Parties are cautioned that I expect all </w:t>
      </w:r>
      <w:r w:rsidR="00EB331F">
        <w:t>participants in this proceeding to behave with civility</w:t>
      </w:r>
      <w:r w:rsidR="00CE504D">
        <w:t xml:space="preserve"> and to address each other with courtesy and respect.</w:t>
      </w:r>
    </w:p>
    <w:p w14:paraId="5A43FF81" w14:textId="46DD65E6" w:rsidR="00D22754" w:rsidRDefault="00D22754"/>
    <w:p w14:paraId="70D01DDF" w14:textId="77777777" w:rsidR="00D73DCE" w:rsidRDefault="00D73DCE"/>
    <w:p w14:paraId="0BEC3AE6" w14:textId="5B7FC8A7" w:rsidR="00141C3A" w:rsidRDefault="00C001F8" w:rsidP="00141C3A">
      <w:pPr>
        <w:spacing w:after="0" w:line="240" w:lineRule="auto"/>
      </w:pPr>
      <w:r>
        <w:rPr>
          <w:u w:val="single"/>
        </w:rPr>
        <w:t>February 26, 2024</w:t>
      </w:r>
      <w:r w:rsidR="00141C3A">
        <w:t xml:space="preserve">                                                                       </w:t>
      </w:r>
      <w:r w:rsidR="00D73DCE">
        <w:rPr>
          <w:u w:val="single"/>
        </w:rPr>
        <w:t xml:space="preserve">  </w:t>
      </w:r>
      <w:r w:rsidR="00D73DCE">
        <w:rPr>
          <w:u w:val="single"/>
        </w:rPr>
        <w:tab/>
      </w:r>
      <w:r w:rsidR="00D73DCE">
        <w:rPr>
          <w:u w:val="single"/>
        </w:rPr>
        <w:tab/>
        <w:t>/s/</w:t>
      </w:r>
      <w:r w:rsidR="00D73DCE">
        <w:rPr>
          <w:u w:val="single"/>
        </w:rPr>
        <w:tab/>
      </w:r>
      <w:r w:rsidR="00D73DCE">
        <w:rPr>
          <w:u w:val="single"/>
        </w:rPr>
        <w:tab/>
      </w:r>
    </w:p>
    <w:p w14:paraId="009C4D12" w14:textId="77777777" w:rsidR="00141C3A" w:rsidRDefault="00141C3A" w:rsidP="00141C3A">
      <w:pPr>
        <w:spacing w:after="0" w:line="240" w:lineRule="auto"/>
        <w:jc w:val="center"/>
      </w:pPr>
      <w:r>
        <w:t xml:space="preserve">                                                                       Mary D. Long</w:t>
      </w:r>
    </w:p>
    <w:p w14:paraId="074551E8" w14:textId="77777777" w:rsidR="00141C3A" w:rsidRDefault="00141C3A" w:rsidP="00141C3A">
      <w:pPr>
        <w:spacing w:after="0" w:line="240" w:lineRule="auto"/>
        <w:jc w:val="center"/>
      </w:pPr>
      <w:r>
        <w:t xml:space="preserve">                                                                                          Administrative Law Judge</w:t>
      </w:r>
    </w:p>
    <w:p w14:paraId="26A3E2F7" w14:textId="77777777" w:rsidR="003625FD" w:rsidRDefault="003625FD" w:rsidP="00141C3A">
      <w:pPr>
        <w:spacing w:after="0" w:line="240" w:lineRule="auto"/>
        <w:jc w:val="center"/>
      </w:pPr>
    </w:p>
    <w:p w14:paraId="54BFB748" w14:textId="77777777" w:rsidR="003625FD" w:rsidRDefault="003625FD" w:rsidP="00141C3A">
      <w:pPr>
        <w:spacing w:after="0" w:line="240" w:lineRule="auto"/>
        <w:jc w:val="center"/>
      </w:pPr>
    </w:p>
    <w:p w14:paraId="3E8B0818" w14:textId="77777777" w:rsidR="003625FD" w:rsidRDefault="003625FD" w:rsidP="00141C3A">
      <w:pPr>
        <w:spacing w:after="0" w:line="240" w:lineRule="auto"/>
        <w:jc w:val="center"/>
        <w:sectPr w:rsidR="003625FD" w:rsidSect="00F613E9">
          <w:footerReference w:type="default" r:id="rId7"/>
          <w:pgSz w:w="12240" w:h="15840"/>
          <w:pgMar w:top="1440" w:right="1440" w:bottom="1440" w:left="1440" w:header="720" w:footer="720" w:gutter="0"/>
          <w:cols w:space="720"/>
          <w:titlePg/>
          <w:docGrid w:linePitch="360"/>
        </w:sectPr>
      </w:pPr>
    </w:p>
    <w:p w14:paraId="46809915" w14:textId="77777777" w:rsidR="003625FD" w:rsidRDefault="003625FD" w:rsidP="003625FD">
      <w:pPr>
        <w:spacing w:after="0"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C-2019-3013745 - DEBORAH &amp; KIM PLATT v. METROPOLITAN EDISON CO</w:t>
      </w:r>
    </w:p>
    <w:p w14:paraId="4E7DA57A" w14:textId="77777777" w:rsidR="003625FD" w:rsidRDefault="003625FD" w:rsidP="003625FD">
      <w:pPr>
        <w:spacing w:after="0" w:line="240" w:lineRule="auto"/>
        <w:rPr>
          <w:rFonts w:ascii="Microsoft Sans Serif" w:eastAsia="Microsoft Sans Serif" w:hAnsi="Microsoft Sans Serif" w:cs="Microsoft Sans Serif"/>
          <w:b/>
          <w:u w:val="single"/>
        </w:rPr>
      </w:pPr>
    </w:p>
    <w:p w14:paraId="454213E9" w14:textId="77777777" w:rsidR="003625FD" w:rsidRDefault="003625FD" w:rsidP="003625FD">
      <w:pPr>
        <w:spacing w:after="0" w:line="240" w:lineRule="auto"/>
        <w:rPr>
          <w:rFonts w:ascii="Microsoft Sans Serif" w:eastAsia="Microsoft Sans Serif" w:hAnsi="Microsoft Sans Serif" w:cs="Microsoft Sans Serif"/>
        </w:rPr>
      </w:pPr>
    </w:p>
    <w:p w14:paraId="13029C47"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DEBORAH &amp; KIM PLATT</w:t>
      </w:r>
    </w:p>
    <w:p w14:paraId="6631FFF8"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175</w:t>
      </w:r>
    </w:p>
    <w:p w14:paraId="2735C56E"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POINT PLEASANT PA  18950</w:t>
      </w:r>
    </w:p>
    <w:p w14:paraId="54E3DBDC"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bCs/>
        </w:rPr>
        <w:t>215.297.8899</w:t>
      </w:r>
    </w:p>
    <w:p w14:paraId="44766B07"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riversong3@comcast.net</w:t>
      </w:r>
    </w:p>
    <w:p w14:paraId="0DF4B8CC"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00622801" w14:textId="77777777" w:rsidR="003625FD" w:rsidRDefault="003625FD" w:rsidP="003625FD">
      <w:pPr>
        <w:spacing w:after="0" w:line="240" w:lineRule="auto"/>
        <w:rPr>
          <w:rFonts w:ascii="Microsoft Sans Serif" w:eastAsia="Microsoft Sans Serif" w:hAnsi="Microsoft Sans Serif" w:cs="Microsoft Sans Serif"/>
        </w:rPr>
      </w:pPr>
    </w:p>
    <w:p w14:paraId="50A56330"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LAUREN MARISSA LEPKOSKI ESQUIRE</w:t>
      </w:r>
    </w:p>
    <w:p w14:paraId="73DB0473"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FIRSTENERGY SERVICES CO</w:t>
      </w:r>
    </w:p>
    <w:p w14:paraId="34469A1A"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2800 POTTSVILLE PIKE</w:t>
      </w:r>
    </w:p>
    <w:p w14:paraId="1392A7B2"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16001</w:t>
      </w:r>
    </w:p>
    <w:p w14:paraId="7C381FBE"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READING PA  19612</w:t>
      </w:r>
    </w:p>
    <w:p w14:paraId="1026B230" w14:textId="77777777" w:rsidR="003625FD" w:rsidRDefault="003625FD" w:rsidP="003625FD">
      <w:pPr>
        <w:spacing w:after="0"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b/>
          <w:bCs/>
        </w:rPr>
        <w:t>610.921.6203</w:t>
      </w:r>
    </w:p>
    <w:p w14:paraId="378EA026"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llepkoski@firstenergycorp.com</w:t>
      </w:r>
    </w:p>
    <w:p w14:paraId="75A29AEF"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7A1EA773" w14:textId="77777777" w:rsidR="003625FD" w:rsidRDefault="003625FD" w:rsidP="003625FD">
      <w:pPr>
        <w:spacing w:after="0" w:line="240" w:lineRule="auto"/>
        <w:rPr>
          <w:rFonts w:ascii="Microsoft Sans Serif" w:eastAsia="Microsoft Sans Serif" w:hAnsi="Microsoft Sans Serif" w:cs="Microsoft Sans Serif"/>
        </w:rPr>
      </w:pPr>
    </w:p>
    <w:p w14:paraId="050AE4E3"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TORI L GIESLER ESQUIRE</w:t>
      </w:r>
    </w:p>
    <w:p w14:paraId="0DFB808E"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FIRSTENERGY</w:t>
      </w:r>
    </w:p>
    <w:p w14:paraId="047F81E2"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2800 POTTSVILLE PIKE</w:t>
      </w:r>
    </w:p>
    <w:p w14:paraId="2AA67AB8"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16001</w:t>
      </w:r>
    </w:p>
    <w:p w14:paraId="4FBEA07C"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READING PA  19612-6001</w:t>
      </w:r>
    </w:p>
    <w:p w14:paraId="5F1FA55D" w14:textId="77777777" w:rsidR="003625FD" w:rsidRDefault="003625FD" w:rsidP="003625FD">
      <w:pPr>
        <w:spacing w:after="0"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b/>
          <w:bCs/>
        </w:rPr>
        <w:t>610.921.6658</w:t>
      </w:r>
    </w:p>
    <w:p w14:paraId="5C17C556" w14:textId="77777777" w:rsidR="003625FD" w:rsidRDefault="003625FD" w:rsidP="003625FD">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tgiesler@firstenergycorp.com</w:t>
      </w:r>
    </w:p>
    <w:p w14:paraId="16FA6B4E" w14:textId="77777777" w:rsidR="003625FD" w:rsidRDefault="003625FD" w:rsidP="003625FD">
      <w:pPr>
        <w:spacing w:after="0" w:line="240" w:lineRule="auto"/>
        <w:rPr>
          <w:rFonts w:asciiTheme="minorHAnsi" w:eastAsiaTheme="minorEastAsia" w:hAnsiTheme="minorHAnsi" w:cstheme="minorBidi"/>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FF35ADE" w14:textId="77777777" w:rsidR="003625FD" w:rsidRDefault="003625FD" w:rsidP="003625FD">
      <w:pPr>
        <w:spacing w:after="0" w:line="240" w:lineRule="auto"/>
      </w:pPr>
    </w:p>
    <w:p w14:paraId="55F1ADB8" w14:textId="77777777" w:rsidR="003625FD" w:rsidRDefault="003625FD" w:rsidP="003625FD">
      <w:pPr>
        <w:rPr>
          <w:rFonts w:ascii="Microsoft Sans Serif" w:eastAsia="Microsoft Sans Serif" w:hAnsi="Microsoft Sans Serif" w:cs="Microsoft Sans Serif"/>
        </w:rPr>
      </w:pPr>
    </w:p>
    <w:p w14:paraId="33A25917" w14:textId="77777777" w:rsidR="003625FD" w:rsidRDefault="003625FD" w:rsidP="003625FD">
      <w:pPr>
        <w:rPr>
          <w:rFonts w:asciiTheme="minorHAnsi" w:eastAsiaTheme="minorEastAsia" w:hAnsiTheme="minorHAnsi" w:cstheme="minorBidi"/>
        </w:rPr>
      </w:pPr>
    </w:p>
    <w:p w14:paraId="1240F273" w14:textId="77777777" w:rsidR="003625FD" w:rsidRDefault="003625FD" w:rsidP="00141C3A">
      <w:pPr>
        <w:spacing w:after="0" w:line="240" w:lineRule="auto"/>
        <w:jc w:val="center"/>
      </w:pPr>
    </w:p>
    <w:p w14:paraId="6FC30558" w14:textId="77777777" w:rsidR="00141C3A" w:rsidRDefault="00141C3A"/>
    <w:sectPr w:rsidR="00141C3A" w:rsidSect="00F613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8F21" w14:textId="77777777" w:rsidR="004D351C" w:rsidRDefault="004D351C" w:rsidP="004D351C">
      <w:pPr>
        <w:spacing w:after="0" w:line="240" w:lineRule="auto"/>
      </w:pPr>
      <w:r>
        <w:separator/>
      </w:r>
    </w:p>
  </w:endnote>
  <w:endnote w:type="continuationSeparator" w:id="0">
    <w:p w14:paraId="2B2472FB" w14:textId="77777777" w:rsidR="004D351C" w:rsidRDefault="004D351C" w:rsidP="004D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43860"/>
      <w:docPartObj>
        <w:docPartGallery w:val="Page Numbers (Bottom of Page)"/>
        <w:docPartUnique/>
      </w:docPartObj>
    </w:sdtPr>
    <w:sdtEndPr>
      <w:rPr>
        <w:noProof/>
      </w:rPr>
    </w:sdtEndPr>
    <w:sdtContent>
      <w:p w14:paraId="5571310E" w14:textId="2B77A489" w:rsidR="00F613E9" w:rsidRDefault="00F613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79E82" w14:textId="77777777" w:rsidR="00F613E9" w:rsidRDefault="00F61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FED4" w14:textId="77777777" w:rsidR="004D351C" w:rsidRDefault="004D351C" w:rsidP="004D351C">
      <w:pPr>
        <w:spacing w:after="0" w:line="240" w:lineRule="auto"/>
      </w:pPr>
      <w:r>
        <w:separator/>
      </w:r>
    </w:p>
  </w:footnote>
  <w:footnote w:type="continuationSeparator" w:id="0">
    <w:p w14:paraId="1B986823" w14:textId="77777777" w:rsidR="004D351C" w:rsidRDefault="004D351C" w:rsidP="004D351C">
      <w:pPr>
        <w:spacing w:after="0" w:line="240" w:lineRule="auto"/>
      </w:pPr>
      <w:r>
        <w:continuationSeparator/>
      </w:r>
    </w:p>
  </w:footnote>
  <w:footnote w:id="1">
    <w:p w14:paraId="6FE35AAF" w14:textId="22239AA4" w:rsidR="004D351C" w:rsidRDefault="004D351C">
      <w:pPr>
        <w:pStyle w:val="FootnoteText"/>
      </w:pPr>
      <w:r>
        <w:rPr>
          <w:rStyle w:val="FootnoteReference"/>
        </w:rPr>
        <w:footnoteRef/>
      </w:r>
      <w:r>
        <w:t xml:space="preserve"> </w:t>
      </w:r>
      <w:r>
        <w:tab/>
        <w:t xml:space="preserve">See </w:t>
      </w:r>
      <w:r w:rsidR="00F3365D">
        <w:t xml:space="preserve">August 18, </w:t>
      </w:r>
      <w:proofErr w:type="gramStart"/>
      <w:r w:rsidR="00F3365D">
        <w:t>2020</w:t>
      </w:r>
      <w:proofErr w:type="gramEnd"/>
      <w:r w:rsidR="00F3365D">
        <w:t xml:space="preserve"> Interim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E60BB0"/>
    <w:lvl w:ilvl="0">
      <w:start w:val="1"/>
      <w:numFmt w:val="decimal"/>
      <w:lvlText w:val="%1."/>
      <w:lvlJc w:val="left"/>
      <w:pPr>
        <w:tabs>
          <w:tab w:val="num" w:pos="360"/>
        </w:tabs>
        <w:ind w:left="360" w:hanging="36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5B6B15"/>
    <w:multiLevelType w:val="hybridMultilevel"/>
    <w:tmpl w:val="542A3F58"/>
    <w:lvl w:ilvl="0" w:tplc="0B2853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4"/>
  </w:num>
  <w:num w:numId="2" w16cid:durableId="434331319">
    <w:abstractNumId w:val="24"/>
  </w:num>
  <w:num w:numId="3" w16cid:durableId="700204405">
    <w:abstractNumId w:val="32"/>
  </w:num>
  <w:num w:numId="4" w16cid:durableId="1443763581">
    <w:abstractNumId w:val="36"/>
  </w:num>
  <w:num w:numId="5" w16cid:durableId="1888641000">
    <w:abstractNumId w:val="14"/>
  </w:num>
  <w:num w:numId="6" w16cid:durableId="771897392">
    <w:abstractNumId w:val="9"/>
  </w:num>
  <w:num w:numId="7" w16cid:durableId="401686284">
    <w:abstractNumId w:val="7"/>
  </w:num>
  <w:num w:numId="8" w16cid:durableId="905720563">
    <w:abstractNumId w:val="35"/>
  </w:num>
  <w:num w:numId="9" w16cid:durableId="76749609">
    <w:abstractNumId w:val="4"/>
  </w:num>
  <w:num w:numId="10" w16cid:durableId="1172405981">
    <w:abstractNumId w:val="26"/>
  </w:num>
  <w:num w:numId="11" w16cid:durableId="1312253715">
    <w:abstractNumId w:val="31"/>
  </w:num>
  <w:num w:numId="12" w16cid:durableId="10184379">
    <w:abstractNumId w:val="20"/>
  </w:num>
  <w:num w:numId="13" w16cid:durableId="529227091">
    <w:abstractNumId w:val="28"/>
  </w:num>
  <w:num w:numId="14" w16cid:durableId="2083213294">
    <w:abstractNumId w:val="33"/>
  </w:num>
  <w:num w:numId="15" w16cid:durableId="103304739">
    <w:abstractNumId w:val="1"/>
  </w:num>
  <w:num w:numId="16" w16cid:durableId="1268391741">
    <w:abstractNumId w:val="25"/>
  </w:num>
  <w:num w:numId="17" w16cid:durableId="1737705955">
    <w:abstractNumId w:val="25"/>
  </w:num>
  <w:num w:numId="18" w16cid:durableId="2065447608">
    <w:abstractNumId w:val="13"/>
  </w:num>
  <w:num w:numId="19" w16cid:durableId="240335003">
    <w:abstractNumId w:val="21"/>
  </w:num>
  <w:num w:numId="20" w16cid:durableId="1699697877">
    <w:abstractNumId w:val="37"/>
  </w:num>
  <w:num w:numId="21" w16cid:durableId="1433433638">
    <w:abstractNumId w:val="18"/>
  </w:num>
  <w:num w:numId="22" w16cid:durableId="1235362085">
    <w:abstractNumId w:val="6"/>
  </w:num>
  <w:num w:numId="23" w16cid:durableId="1143349798">
    <w:abstractNumId w:val="19"/>
  </w:num>
  <w:num w:numId="24" w16cid:durableId="638923867">
    <w:abstractNumId w:val="40"/>
  </w:num>
  <w:num w:numId="25" w16cid:durableId="1407266254">
    <w:abstractNumId w:val="2"/>
  </w:num>
  <w:num w:numId="26" w16cid:durableId="1634946696">
    <w:abstractNumId w:val="8"/>
  </w:num>
  <w:num w:numId="27" w16cid:durableId="1395852139">
    <w:abstractNumId w:val="30"/>
  </w:num>
  <w:num w:numId="28" w16cid:durableId="1694070323">
    <w:abstractNumId w:val="17"/>
  </w:num>
  <w:num w:numId="29" w16cid:durableId="722409651">
    <w:abstractNumId w:val="12"/>
  </w:num>
  <w:num w:numId="30" w16cid:durableId="1882018023">
    <w:abstractNumId w:val="23"/>
  </w:num>
  <w:num w:numId="31" w16cid:durableId="1653749281">
    <w:abstractNumId w:val="38"/>
  </w:num>
  <w:num w:numId="32" w16cid:durableId="1057171494">
    <w:abstractNumId w:val="39"/>
  </w:num>
  <w:num w:numId="33" w16cid:durableId="1563904577">
    <w:abstractNumId w:val="29"/>
  </w:num>
  <w:num w:numId="34" w16cid:durableId="1325668127">
    <w:abstractNumId w:val="5"/>
  </w:num>
  <w:num w:numId="35" w16cid:durableId="1633827708">
    <w:abstractNumId w:val="22"/>
  </w:num>
  <w:num w:numId="36" w16cid:durableId="722096734">
    <w:abstractNumId w:val="3"/>
  </w:num>
  <w:num w:numId="37" w16cid:durableId="50353854">
    <w:abstractNumId w:val="15"/>
  </w:num>
  <w:num w:numId="38" w16cid:durableId="1740320400">
    <w:abstractNumId w:val="27"/>
  </w:num>
  <w:num w:numId="39" w16cid:durableId="1583250809">
    <w:abstractNumId w:val="16"/>
  </w:num>
  <w:num w:numId="40" w16cid:durableId="2027363711">
    <w:abstractNumId w:val="10"/>
  </w:num>
  <w:num w:numId="41" w16cid:durableId="203491476">
    <w:abstractNumId w:val="10"/>
  </w:num>
  <w:num w:numId="42" w16cid:durableId="2108693603">
    <w:abstractNumId w:val="10"/>
  </w:num>
  <w:num w:numId="43" w16cid:durableId="1213738068">
    <w:abstractNumId w:val="0"/>
  </w:num>
  <w:num w:numId="44" w16cid:durableId="570043136">
    <w:abstractNumId w:val="0"/>
  </w:num>
  <w:num w:numId="45" w16cid:durableId="51466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62"/>
    <w:rsid w:val="00004C37"/>
    <w:rsid w:val="000066B3"/>
    <w:rsid w:val="00066D87"/>
    <w:rsid w:val="00081F45"/>
    <w:rsid w:val="00083973"/>
    <w:rsid w:val="00087C65"/>
    <w:rsid w:val="000B44A8"/>
    <w:rsid w:val="000D4B36"/>
    <w:rsid w:val="000E3EDE"/>
    <w:rsid w:val="00107E82"/>
    <w:rsid w:val="00141C3A"/>
    <w:rsid w:val="001A21B6"/>
    <w:rsid w:val="001B1CBA"/>
    <w:rsid w:val="001C33B1"/>
    <w:rsid w:val="001D2AF7"/>
    <w:rsid w:val="00204BCE"/>
    <w:rsid w:val="00207743"/>
    <w:rsid w:val="00207F69"/>
    <w:rsid w:val="00213167"/>
    <w:rsid w:val="00231E72"/>
    <w:rsid w:val="00243821"/>
    <w:rsid w:val="002512F9"/>
    <w:rsid w:val="00267405"/>
    <w:rsid w:val="002A2821"/>
    <w:rsid w:val="002C16BB"/>
    <w:rsid w:val="002C697B"/>
    <w:rsid w:val="003145FA"/>
    <w:rsid w:val="003625FD"/>
    <w:rsid w:val="00367A41"/>
    <w:rsid w:val="00393C92"/>
    <w:rsid w:val="003A1A41"/>
    <w:rsid w:val="003A3E09"/>
    <w:rsid w:val="003D6BEA"/>
    <w:rsid w:val="00410CA1"/>
    <w:rsid w:val="00417566"/>
    <w:rsid w:val="004D351C"/>
    <w:rsid w:val="004D523C"/>
    <w:rsid w:val="00530306"/>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765CD"/>
    <w:rsid w:val="00792796"/>
    <w:rsid w:val="00796B64"/>
    <w:rsid w:val="007E6779"/>
    <w:rsid w:val="00820B4C"/>
    <w:rsid w:val="0083239D"/>
    <w:rsid w:val="008529D2"/>
    <w:rsid w:val="0088105E"/>
    <w:rsid w:val="00917DCA"/>
    <w:rsid w:val="00926DE3"/>
    <w:rsid w:val="009C7C72"/>
    <w:rsid w:val="009D35E3"/>
    <w:rsid w:val="00A00908"/>
    <w:rsid w:val="00A47096"/>
    <w:rsid w:val="00A74A63"/>
    <w:rsid w:val="00AA2EC5"/>
    <w:rsid w:val="00AB4C73"/>
    <w:rsid w:val="00AD27C0"/>
    <w:rsid w:val="00AE57A7"/>
    <w:rsid w:val="00AE6F47"/>
    <w:rsid w:val="00B91E47"/>
    <w:rsid w:val="00B97647"/>
    <w:rsid w:val="00BA44D7"/>
    <w:rsid w:val="00BC3362"/>
    <w:rsid w:val="00BC6B21"/>
    <w:rsid w:val="00C001F8"/>
    <w:rsid w:val="00C04D8A"/>
    <w:rsid w:val="00C65884"/>
    <w:rsid w:val="00C87E57"/>
    <w:rsid w:val="00CE504D"/>
    <w:rsid w:val="00CE5ABC"/>
    <w:rsid w:val="00CF6143"/>
    <w:rsid w:val="00D14843"/>
    <w:rsid w:val="00D1640B"/>
    <w:rsid w:val="00D22754"/>
    <w:rsid w:val="00D566B8"/>
    <w:rsid w:val="00D73DCE"/>
    <w:rsid w:val="00DB7848"/>
    <w:rsid w:val="00DD5C37"/>
    <w:rsid w:val="00DF35D9"/>
    <w:rsid w:val="00E4239A"/>
    <w:rsid w:val="00E445B2"/>
    <w:rsid w:val="00EB027A"/>
    <w:rsid w:val="00EB331F"/>
    <w:rsid w:val="00EC018A"/>
    <w:rsid w:val="00EC1CBA"/>
    <w:rsid w:val="00EE7801"/>
    <w:rsid w:val="00F11A19"/>
    <w:rsid w:val="00F16554"/>
    <w:rsid w:val="00F3365D"/>
    <w:rsid w:val="00F544E1"/>
    <w:rsid w:val="00F613E9"/>
    <w:rsid w:val="00F62AEA"/>
    <w:rsid w:val="00FC167C"/>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8119"/>
  <w15:chartTrackingRefBased/>
  <w15:docId w15:val="{F205F9C1-B50A-4377-B81B-17D42033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BC3362"/>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243821"/>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243821"/>
    <w:rPr>
      <w:rFonts w:eastAsia="Times New Roman"/>
      <w:sz w:val="20"/>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paragraph" w:styleId="ListNumber">
    <w:name w:val="List Number"/>
    <w:basedOn w:val="Normal"/>
    <w:autoRedefine/>
    <w:uiPriority w:val="99"/>
    <w:semiHidden/>
    <w:unhideWhenUsed/>
    <w:rsid w:val="00530306"/>
    <w:pPr>
      <w:ind w:firstLine="1440"/>
      <w:contextualSpacing/>
    </w:pPr>
  </w:style>
  <w:style w:type="table" w:styleId="TableGrid">
    <w:name w:val="Table Grid"/>
    <w:basedOn w:val="TableNormal"/>
    <w:uiPriority w:val="59"/>
    <w:rsid w:val="00087C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D351C"/>
    <w:rPr>
      <w:vertAlign w:val="superscript"/>
    </w:rPr>
  </w:style>
  <w:style w:type="paragraph" w:styleId="Header">
    <w:name w:val="header"/>
    <w:basedOn w:val="Normal"/>
    <w:link w:val="HeaderChar"/>
    <w:uiPriority w:val="99"/>
    <w:unhideWhenUsed/>
    <w:rsid w:val="00F613E9"/>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613E9"/>
  </w:style>
  <w:style w:type="paragraph" w:styleId="Footer">
    <w:name w:val="footer"/>
    <w:basedOn w:val="Normal"/>
    <w:link w:val="FooterChar"/>
    <w:uiPriority w:val="99"/>
    <w:unhideWhenUsed/>
    <w:rsid w:val="00F613E9"/>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6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Swarner, Mary</cp:lastModifiedBy>
  <cp:revision>2</cp:revision>
  <dcterms:created xsi:type="dcterms:W3CDTF">2024-02-26T20:41:00Z</dcterms:created>
  <dcterms:modified xsi:type="dcterms:W3CDTF">2024-02-26T20:41:00Z</dcterms:modified>
</cp:coreProperties>
</file>