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0504F0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0504F0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036BCD4" w14:textId="77777777" w:rsidR="0067036A" w:rsidRPr="00011FA0" w:rsidRDefault="0067036A" w:rsidP="0067036A">
      <w:pPr>
        <w:jc w:val="center"/>
        <w:rPr>
          <w:rFonts w:ascii="Arial" w:hAnsi="Arial" w:cs="Arial"/>
          <w:noProof/>
          <w:sz w:val="12"/>
          <w:szCs w:val="12"/>
        </w:rPr>
      </w:pPr>
    </w:p>
    <w:p w14:paraId="0EF6DA73" w14:textId="7750AD56" w:rsidR="0067036A" w:rsidRDefault="00E81ECE" w:rsidP="0067036A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February 27, 2024</w:t>
      </w:r>
    </w:p>
    <w:p w14:paraId="2F27218E" w14:textId="77777777" w:rsidR="0067036A" w:rsidRPr="00011FA0" w:rsidRDefault="0067036A" w:rsidP="0067036A">
      <w:pPr>
        <w:jc w:val="right"/>
        <w:rPr>
          <w:rFonts w:ascii="Arial" w:hAnsi="Arial" w:cs="Arial"/>
          <w:noProof/>
          <w:sz w:val="12"/>
          <w:szCs w:val="12"/>
        </w:rPr>
      </w:pPr>
    </w:p>
    <w:p w14:paraId="0B3F0BC5" w14:textId="06D09E42" w:rsidR="0067036A" w:rsidRDefault="0067036A" w:rsidP="0067036A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A-</w:t>
      </w:r>
      <w:r w:rsidR="00E81ECE">
        <w:rPr>
          <w:rFonts w:ascii="Arial" w:hAnsi="Arial" w:cs="Arial"/>
          <w:noProof/>
          <w:sz w:val="24"/>
          <w:szCs w:val="24"/>
        </w:rPr>
        <w:t>2023-3041145</w:t>
      </w:r>
    </w:p>
    <w:p w14:paraId="0CB34D7A" w14:textId="77777777" w:rsidR="0067036A" w:rsidRPr="009376B5" w:rsidRDefault="0067036A" w:rsidP="0067036A">
      <w:pPr>
        <w:rPr>
          <w:rFonts w:ascii="Arial" w:hAnsi="Arial" w:cs="Arial"/>
          <w:noProof/>
          <w:sz w:val="12"/>
          <w:szCs w:val="12"/>
        </w:rPr>
      </w:pPr>
    </w:p>
    <w:p w14:paraId="55AFEAAE" w14:textId="77777777" w:rsidR="0067036A" w:rsidRPr="009659B5" w:rsidRDefault="0067036A" w:rsidP="0067036A">
      <w:pPr>
        <w:rPr>
          <w:rFonts w:ascii="Arial" w:hAnsi="Arial" w:cs="Arial"/>
          <w:i/>
          <w:iCs/>
          <w:noProof/>
          <w:sz w:val="24"/>
          <w:szCs w:val="24"/>
        </w:rPr>
      </w:pPr>
      <w:r w:rsidRPr="009659B5">
        <w:rPr>
          <w:rFonts w:ascii="Arial" w:hAnsi="Arial" w:cs="Arial"/>
          <w:i/>
          <w:iCs/>
          <w:noProof/>
          <w:sz w:val="24"/>
          <w:szCs w:val="24"/>
        </w:rPr>
        <w:t>Served by E</w:t>
      </w:r>
      <w:r>
        <w:rPr>
          <w:rFonts w:ascii="Arial" w:hAnsi="Arial" w:cs="Arial"/>
          <w:i/>
          <w:iCs/>
          <w:noProof/>
          <w:sz w:val="24"/>
          <w:szCs w:val="24"/>
        </w:rPr>
        <w:t>mail</w:t>
      </w:r>
    </w:p>
    <w:p w14:paraId="69C4FD5D" w14:textId="16A90387" w:rsidR="0067036A" w:rsidRDefault="0067036A" w:rsidP="0067036A">
      <w:pPr>
        <w:rPr>
          <w:rFonts w:ascii="Arial" w:hAnsi="Arial"/>
          <w:sz w:val="12"/>
          <w:szCs w:val="12"/>
        </w:rPr>
      </w:pPr>
    </w:p>
    <w:p w14:paraId="2BFBC6F5" w14:textId="5668B5A8" w:rsidR="00BC6BD5" w:rsidRDefault="00BC6BD5" w:rsidP="0067036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FELLER LAW GROUP, PLLC</w:t>
      </w:r>
    </w:p>
    <w:p w14:paraId="4D354DA2" w14:textId="18281F26" w:rsidR="00BC6BD5" w:rsidRDefault="00BC6BD5" w:rsidP="0067036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ATTN: MICHELLE MANN</w:t>
      </w:r>
      <w:r w:rsidR="00C50E9F">
        <w:rPr>
          <w:rFonts w:ascii="Arial" w:hAnsi="Arial"/>
          <w:sz w:val="24"/>
          <w:szCs w:val="24"/>
        </w:rPr>
        <w:t xml:space="preserve">, DIRECTOR OF GOVERNMENT AFFAIRS </w:t>
      </w:r>
      <w:r w:rsidR="00494F1C">
        <w:rPr>
          <w:rFonts w:ascii="Arial" w:hAnsi="Arial"/>
          <w:sz w:val="24"/>
          <w:szCs w:val="24"/>
        </w:rPr>
        <w:t>&amp;</w:t>
      </w:r>
      <w:r w:rsidR="00C50E9F">
        <w:rPr>
          <w:rFonts w:ascii="Arial" w:hAnsi="Arial"/>
          <w:sz w:val="24"/>
          <w:szCs w:val="24"/>
        </w:rPr>
        <w:t xml:space="preserve"> REGULATORY COMPLIANCE</w:t>
      </w:r>
    </w:p>
    <w:p w14:paraId="643017EE" w14:textId="2B5030B6" w:rsidR="00494F1C" w:rsidRDefault="00494F1C" w:rsidP="0067036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159 20</w:t>
      </w:r>
      <w:r w:rsidRPr="00494F1C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</w:t>
      </w:r>
      <w:r w:rsidR="00DC1260">
        <w:rPr>
          <w:rFonts w:ascii="Arial" w:hAnsi="Arial"/>
          <w:sz w:val="24"/>
          <w:szCs w:val="24"/>
        </w:rPr>
        <w:t>STREET, SUITE 1B</w:t>
      </w:r>
    </w:p>
    <w:p w14:paraId="6F7D2170" w14:textId="0847B643" w:rsidR="00DC1260" w:rsidRPr="00BC6BD5" w:rsidRDefault="00DC1260" w:rsidP="0067036A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BROOKLYN, NY  11232</w:t>
      </w:r>
    </w:p>
    <w:p w14:paraId="4538C535" w14:textId="5C552DC4" w:rsidR="0067036A" w:rsidRPr="00E07894" w:rsidRDefault="0067036A" w:rsidP="00670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DC1260" w:rsidRPr="00DC1260">
        <w:rPr>
          <w:rFonts w:ascii="Arial" w:hAnsi="Arial" w:cs="Arial"/>
          <w:sz w:val="24"/>
          <w:szCs w:val="24"/>
        </w:rPr>
        <w:t>michellemann@feller.law</w:t>
      </w:r>
    </w:p>
    <w:p w14:paraId="2DF26131" w14:textId="77777777" w:rsidR="0067036A" w:rsidRPr="00011FA0" w:rsidRDefault="0067036A" w:rsidP="0067036A">
      <w:pPr>
        <w:rPr>
          <w:rFonts w:ascii="Arial" w:hAnsi="Arial" w:cs="Arial"/>
          <w:sz w:val="12"/>
          <w:szCs w:val="12"/>
        </w:rPr>
      </w:pPr>
    </w:p>
    <w:p w14:paraId="46874D99" w14:textId="77777777" w:rsidR="0067036A" w:rsidRPr="00011FA0" w:rsidRDefault="0067036A" w:rsidP="0067036A">
      <w:pPr>
        <w:rPr>
          <w:rFonts w:ascii="Arial" w:hAnsi="Arial"/>
          <w:sz w:val="12"/>
          <w:szCs w:val="12"/>
        </w:rPr>
      </w:pPr>
    </w:p>
    <w:p w14:paraId="4FB8B448" w14:textId="77777777" w:rsidR="0067036A" w:rsidRPr="00011FA0" w:rsidRDefault="0067036A" w:rsidP="0067036A">
      <w:pPr>
        <w:rPr>
          <w:rFonts w:ascii="Arial" w:hAnsi="Arial"/>
          <w:sz w:val="12"/>
          <w:szCs w:val="12"/>
        </w:rPr>
      </w:pPr>
    </w:p>
    <w:p w14:paraId="7BE915DB" w14:textId="77777777" w:rsidR="0067036A" w:rsidRPr="009376B5" w:rsidRDefault="0067036A" w:rsidP="0067036A">
      <w:pPr>
        <w:rPr>
          <w:rFonts w:ascii="Arial" w:hAnsi="Arial"/>
          <w:sz w:val="12"/>
          <w:szCs w:val="12"/>
        </w:rPr>
      </w:pPr>
    </w:p>
    <w:p w14:paraId="37F85B62" w14:textId="3456121C" w:rsidR="0067036A" w:rsidRDefault="0067036A" w:rsidP="0067036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Dear Ms. </w:t>
      </w:r>
      <w:r w:rsidR="00DC1260">
        <w:rPr>
          <w:rFonts w:ascii="Arial" w:hAnsi="Arial"/>
          <w:sz w:val="24"/>
          <w:szCs w:val="24"/>
        </w:rPr>
        <w:t>Mann</w:t>
      </w:r>
      <w:r>
        <w:rPr>
          <w:rFonts w:ascii="Arial" w:hAnsi="Arial"/>
          <w:sz w:val="24"/>
          <w:szCs w:val="24"/>
        </w:rPr>
        <w:t>:</w:t>
      </w:r>
    </w:p>
    <w:p w14:paraId="4DD69CF0" w14:textId="77777777" w:rsidR="0067036A" w:rsidRPr="0070427E" w:rsidRDefault="0067036A" w:rsidP="0067036A">
      <w:pPr>
        <w:pStyle w:val="BodyText"/>
        <w:rPr>
          <w:rFonts w:ascii="Arial" w:hAnsi="Arial"/>
          <w:sz w:val="12"/>
          <w:szCs w:val="12"/>
        </w:rPr>
      </w:pPr>
    </w:p>
    <w:p w14:paraId="3D4F70F7" w14:textId="590CC874" w:rsidR="0067036A" w:rsidRDefault="0067036A" w:rsidP="0067036A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76CF5">
        <w:rPr>
          <w:rFonts w:ascii="Arial" w:hAnsi="Arial" w:cs="Arial"/>
          <w:noProof/>
          <w:sz w:val="24"/>
          <w:szCs w:val="24"/>
        </w:rPr>
        <w:t>February 22, 2024</w:t>
      </w:r>
      <w:r>
        <w:rPr>
          <w:rFonts w:ascii="Arial" w:hAnsi="Arial" w:cs="Arial"/>
          <w:sz w:val="24"/>
          <w:szCs w:val="24"/>
        </w:rPr>
        <w:t>, the Commission received your filing deemed Name</w:t>
      </w:r>
      <w:r w:rsidR="00B80EE9">
        <w:rPr>
          <w:rFonts w:ascii="Arial" w:hAnsi="Arial" w:cs="Arial"/>
          <w:sz w:val="24"/>
          <w:szCs w:val="24"/>
        </w:rPr>
        <w:t>/Entity</w:t>
      </w:r>
      <w:r>
        <w:rPr>
          <w:rFonts w:ascii="Arial" w:hAnsi="Arial" w:cs="Arial"/>
          <w:sz w:val="24"/>
          <w:szCs w:val="24"/>
        </w:rPr>
        <w:t xml:space="preserve"> Change Request from </w:t>
      </w:r>
      <w:bookmarkStart w:id="0" w:name="_Hlk159925637"/>
      <w:r w:rsidR="00C76CF5">
        <w:rPr>
          <w:rFonts w:ascii="Arial" w:hAnsi="Arial" w:cs="Arial"/>
          <w:sz w:val="24"/>
          <w:szCs w:val="24"/>
        </w:rPr>
        <w:t>Energy Zebra LLC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to </w:t>
      </w:r>
      <w:r w:rsidR="00380794">
        <w:rPr>
          <w:rFonts w:ascii="Arial" w:hAnsi="Arial" w:cs="Arial"/>
          <w:sz w:val="24"/>
          <w:szCs w:val="24"/>
        </w:rPr>
        <w:t>American Electric Rates LLC</w:t>
      </w:r>
      <w:r>
        <w:rPr>
          <w:rFonts w:ascii="Arial" w:hAnsi="Arial" w:cs="Arial"/>
          <w:sz w:val="24"/>
          <w:szCs w:val="24"/>
        </w:rPr>
        <w:t>.  It has been determined your filing is deficient for the following reason:</w:t>
      </w:r>
    </w:p>
    <w:p w14:paraId="2BAD7C0A" w14:textId="77777777" w:rsidR="0067036A" w:rsidRPr="003D22BB" w:rsidRDefault="0067036A" w:rsidP="0067036A">
      <w:pPr>
        <w:rPr>
          <w:rFonts w:ascii="Arial" w:hAnsi="Arial" w:cs="Arial"/>
          <w:sz w:val="24"/>
          <w:szCs w:val="24"/>
        </w:rPr>
      </w:pPr>
    </w:p>
    <w:p w14:paraId="397C49F9" w14:textId="77777777" w:rsidR="0067036A" w:rsidRDefault="0067036A" w:rsidP="00670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required $350.00 filing fee is missing.</w:t>
      </w:r>
    </w:p>
    <w:p w14:paraId="3935C4B3" w14:textId="77777777" w:rsidR="0067036A" w:rsidRPr="003D22BB" w:rsidRDefault="0067036A" w:rsidP="0067036A">
      <w:pPr>
        <w:rPr>
          <w:rFonts w:ascii="Arial" w:hAnsi="Arial" w:cs="Arial"/>
          <w:sz w:val="24"/>
          <w:szCs w:val="24"/>
        </w:rPr>
      </w:pPr>
    </w:p>
    <w:p w14:paraId="5EC7D4CD" w14:textId="10B6FBD8" w:rsidR="0067036A" w:rsidRDefault="0067036A" w:rsidP="0067036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days from the date of this letter.  Failure to respond may cause Commission staff to initiate a formal proceeding that may lead to cancellation of </w:t>
      </w:r>
      <w:r w:rsidR="00380794">
        <w:rPr>
          <w:rFonts w:ascii="Arial" w:hAnsi="Arial" w:cs="Arial"/>
          <w:sz w:val="24"/>
          <w:szCs w:val="24"/>
        </w:rPr>
        <w:t>Energy Zebra LLC</w:t>
      </w:r>
      <w:r w:rsidR="00380794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natural gas supplier license, fines and penalties, removal of the company’s information from the Commission’s website, and notification to all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complainant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 xml:space="preserve">gas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distribution companies in which </w:t>
      </w:r>
      <w:r w:rsidR="00F060B5">
        <w:rPr>
          <w:rFonts w:ascii="Arial" w:hAnsi="Arial" w:cs="Arial"/>
          <w:sz w:val="24"/>
          <w:szCs w:val="24"/>
        </w:rPr>
        <w:t>Energy Zebra LLC</w:t>
      </w:r>
      <w:r>
        <w:rPr>
          <w:rFonts w:ascii="Arial" w:hAnsi="Arial" w:cs="Arial"/>
          <w:sz w:val="24"/>
          <w:szCs w:val="24"/>
        </w:rPr>
        <w:t xml:space="preserve"> is licensed to do business.  </w:t>
      </w:r>
    </w:p>
    <w:p w14:paraId="333BAB25" w14:textId="77777777" w:rsidR="0067036A" w:rsidRPr="003D22BB" w:rsidRDefault="0067036A" w:rsidP="0067036A">
      <w:pPr>
        <w:rPr>
          <w:rFonts w:ascii="Arial" w:hAnsi="Arial" w:cs="Arial"/>
          <w:sz w:val="24"/>
          <w:szCs w:val="24"/>
        </w:rPr>
      </w:pPr>
    </w:p>
    <w:p w14:paraId="132168C9" w14:textId="77777777" w:rsidR="0067036A" w:rsidRDefault="0067036A" w:rsidP="0067036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Should you have any questions please contact our Bureau at 717-772-7777.</w:t>
      </w:r>
    </w:p>
    <w:p w14:paraId="03BD9F4B" w14:textId="77777777" w:rsidR="0067036A" w:rsidRPr="003D22BB" w:rsidRDefault="0067036A" w:rsidP="0067036A">
      <w:pPr>
        <w:rPr>
          <w:rFonts w:ascii="Arial" w:hAnsi="Arial"/>
          <w:sz w:val="24"/>
          <w:szCs w:val="24"/>
        </w:rPr>
      </w:pPr>
    </w:p>
    <w:p w14:paraId="1C94C389" w14:textId="77777777" w:rsidR="0067036A" w:rsidRPr="003D22BB" w:rsidRDefault="0067036A" w:rsidP="0067036A">
      <w:pPr>
        <w:rPr>
          <w:rFonts w:ascii="Arial" w:hAnsi="Arial"/>
          <w:sz w:val="24"/>
          <w:szCs w:val="24"/>
        </w:rPr>
      </w:pPr>
    </w:p>
    <w:p w14:paraId="121E1698" w14:textId="77777777" w:rsidR="0067036A" w:rsidRDefault="0067036A" w:rsidP="0067036A">
      <w:pPr>
        <w:rPr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C3D369" wp14:editId="40923172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Sincerely,</w:t>
      </w:r>
    </w:p>
    <w:p w14:paraId="2755850F" w14:textId="77777777" w:rsidR="0067036A" w:rsidRDefault="0067036A" w:rsidP="0067036A">
      <w:pPr>
        <w:rPr>
          <w:rFonts w:ascii="Arial" w:hAnsi="Arial"/>
          <w:sz w:val="24"/>
          <w:szCs w:val="24"/>
        </w:rPr>
      </w:pPr>
    </w:p>
    <w:p w14:paraId="16DE6100" w14:textId="77777777" w:rsidR="0067036A" w:rsidRDefault="0067036A" w:rsidP="0067036A">
      <w:pPr>
        <w:rPr>
          <w:rFonts w:ascii="Arial" w:hAnsi="Arial"/>
          <w:sz w:val="24"/>
          <w:szCs w:val="24"/>
        </w:rPr>
      </w:pPr>
    </w:p>
    <w:p w14:paraId="6C3BFA97" w14:textId="77777777" w:rsidR="0067036A" w:rsidRDefault="0067036A" w:rsidP="0067036A">
      <w:pPr>
        <w:rPr>
          <w:rFonts w:ascii="Arial" w:hAnsi="Arial"/>
          <w:sz w:val="24"/>
          <w:szCs w:val="24"/>
        </w:rPr>
      </w:pPr>
    </w:p>
    <w:p w14:paraId="54095888" w14:textId="77777777" w:rsidR="0067036A" w:rsidRDefault="0067036A" w:rsidP="0067036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059645FB" w14:textId="77777777" w:rsidR="0067036A" w:rsidRDefault="0067036A" w:rsidP="0067036A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1076939" w14:textId="77777777" w:rsidR="0067036A" w:rsidRDefault="0067036A" w:rsidP="0067036A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45CB501" w14:textId="77777777" w:rsidR="0067036A" w:rsidRPr="0070427E" w:rsidRDefault="0067036A" w:rsidP="0067036A">
      <w:pPr>
        <w:ind w:left="5040" w:firstLine="720"/>
        <w:rPr>
          <w:rFonts w:ascii="Arial" w:hAnsi="Arial" w:cs="Arial"/>
          <w:bCs/>
          <w:sz w:val="12"/>
          <w:szCs w:val="12"/>
        </w:rPr>
      </w:pPr>
    </w:p>
    <w:p w14:paraId="3398C699" w14:textId="77777777" w:rsidR="0067036A" w:rsidRDefault="0067036A" w:rsidP="0067036A">
      <w:pPr>
        <w:rPr>
          <w:rFonts w:ascii="Arial" w:hAnsi="Arial" w:cs="Arial"/>
          <w:sz w:val="24"/>
          <w:szCs w:val="24"/>
        </w:rPr>
      </w:pPr>
    </w:p>
    <w:p w14:paraId="0707B041" w14:textId="77777777" w:rsidR="0067036A" w:rsidRDefault="0067036A" w:rsidP="00670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 AEL</w:t>
      </w:r>
    </w:p>
    <w:p w14:paraId="4D016AD4" w14:textId="77777777" w:rsidR="0067036A" w:rsidRDefault="0067036A" w:rsidP="0067036A">
      <w:pPr>
        <w:rPr>
          <w:rFonts w:ascii="Arial" w:hAnsi="Arial" w:cs="Arial"/>
          <w:sz w:val="24"/>
          <w:szCs w:val="24"/>
        </w:rPr>
      </w:pPr>
    </w:p>
    <w:p w14:paraId="4A6C3037" w14:textId="77777777" w:rsidR="0067036A" w:rsidRDefault="0067036A" w:rsidP="00670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File Room</w:t>
      </w:r>
    </w:p>
    <w:p w14:paraId="7E8DB2F2" w14:textId="238C8126" w:rsidR="00F84C26" w:rsidRPr="003D22BB" w:rsidRDefault="0067036A" w:rsidP="003D22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Technical Utility Services</w:t>
      </w:r>
    </w:p>
    <w:sectPr w:rsidR="00F84C26" w:rsidRPr="003D22BB" w:rsidSect="000504F0">
      <w:footerReference w:type="even" r:id="rId16"/>
      <w:footerReference w:type="default" r:id="rId17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585E5" w14:textId="77777777" w:rsidR="000504F0" w:rsidRDefault="000504F0">
      <w:r>
        <w:separator/>
      </w:r>
    </w:p>
  </w:endnote>
  <w:endnote w:type="continuationSeparator" w:id="0">
    <w:p w14:paraId="19678F24" w14:textId="77777777" w:rsidR="000504F0" w:rsidRDefault="0005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FB523" w14:textId="77777777" w:rsidR="009E40EC" w:rsidRDefault="003D22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54C793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FED9B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B4B3AC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2CF30" w14:textId="77777777" w:rsidR="000504F0" w:rsidRDefault="000504F0">
      <w:r>
        <w:separator/>
      </w:r>
    </w:p>
  </w:footnote>
  <w:footnote w:type="continuationSeparator" w:id="0">
    <w:p w14:paraId="30E491A7" w14:textId="77777777" w:rsidR="000504F0" w:rsidRDefault="00050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4F0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64FC"/>
    <w:rsid w:val="00067F4D"/>
    <w:rsid w:val="000712A7"/>
    <w:rsid w:val="00072267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5E9D"/>
    <w:rsid w:val="0035602F"/>
    <w:rsid w:val="003569E8"/>
    <w:rsid w:val="00357952"/>
    <w:rsid w:val="00361814"/>
    <w:rsid w:val="00363AEA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794"/>
    <w:rsid w:val="00380D5F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22BB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329B"/>
    <w:rsid w:val="00484192"/>
    <w:rsid w:val="00491549"/>
    <w:rsid w:val="0049178A"/>
    <w:rsid w:val="004922EC"/>
    <w:rsid w:val="004927D5"/>
    <w:rsid w:val="00494F1C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541"/>
    <w:rsid w:val="00580824"/>
    <w:rsid w:val="00580BDB"/>
    <w:rsid w:val="0058128B"/>
    <w:rsid w:val="00581909"/>
    <w:rsid w:val="0058289A"/>
    <w:rsid w:val="00583FB5"/>
    <w:rsid w:val="005848C0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7628"/>
    <w:rsid w:val="0074265D"/>
    <w:rsid w:val="00743196"/>
    <w:rsid w:val="00743914"/>
    <w:rsid w:val="00750CDA"/>
    <w:rsid w:val="00750F2B"/>
    <w:rsid w:val="00751CA1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46D5"/>
    <w:rsid w:val="008D5A72"/>
    <w:rsid w:val="008D60D7"/>
    <w:rsid w:val="008D67B2"/>
    <w:rsid w:val="008E139B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0EE9"/>
    <w:rsid w:val="00B818BD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6BD5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1E15"/>
    <w:rsid w:val="00C231E0"/>
    <w:rsid w:val="00C25F10"/>
    <w:rsid w:val="00C301A0"/>
    <w:rsid w:val="00C3156D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0E9F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6CF5"/>
    <w:rsid w:val="00C76D99"/>
    <w:rsid w:val="00C77F29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1260"/>
    <w:rsid w:val="00DC23C3"/>
    <w:rsid w:val="00DC4285"/>
    <w:rsid w:val="00DC455D"/>
    <w:rsid w:val="00DC4626"/>
    <w:rsid w:val="00DC4708"/>
    <w:rsid w:val="00DC5CE1"/>
    <w:rsid w:val="00DC5E28"/>
    <w:rsid w:val="00DD3F5E"/>
    <w:rsid w:val="00DD50AC"/>
    <w:rsid w:val="00DD678C"/>
    <w:rsid w:val="00DD6DB8"/>
    <w:rsid w:val="00DD76C4"/>
    <w:rsid w:val="00DE2BCD"/>
    <w:rsid w:val="00DE3F29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1ECE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060B5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12</cp:revision>
  <cp:lastPrinted>2018-09-26T14:32:00Z</cp:lastPrinted>
  <dcterms:created xsi:type="dcterms:W3CDTF">2024-02-27T16:21:00Z</dcterms:created>
  <dcterms:modified xsi:type="dcterms:W3CDTF">2024-02-27T16:30:00Z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