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DEE28" w14:textId="77777777" w:rsidR="00F43C78" w:rsidRPr="00D93B48" w:rsidRDefault="00F43C78" w:rsidP="00F43C78">
      <w:pPr>
        <w:autoSpaceDE w:val="0"/>
        <w:autoSpaceDN w:val="0"/>
        <w:spacing w:after="0" w:line="240" w:lineRule="auto"/>
        <w:jc w:val="center"/>
        <w:rPr>
          <w:rFonts w:ascii="Times New Roman" w:eastAsia="Times New Roman" w:hAnsi="Times New Roman" w:cs="Times New Roman"/>
          <w:b/>
          <w:sz w:val="24"/>
          <w:szCs w:val="24"/>
        </w:rPr>
      </w:pPr>
      <w:r w:rsidRPr="00D93B48">
        <w:rPr>
          <w:rFonts w:ascii="Times New Roman" w:eastAsia="Times New Roman" w:hAnsi="Times New Roman" w:cs="Times New Roman"/>
          <w:b/>
          <w:sz w:val="24"/>
          <w:szCs w:val="24"/>
        </w:rPr>
        <w:t>BEFORE THE</w:t>
      </w:r>
    </w:p>
    <w:p w14:paraId="2A3653D7" w14:textId="77777777" w:rsidR="00F43C78" w:rsidRPr="00D93B48" w:rsidRDefault="00F43C78" w:rsidP="00F43C7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93B48">
        <w:rPr>
          <w:rFonts w:ascii="Times New Roman" w:eastAsia="Times New Roman" w:hAnsi="Times New Roman" w:cs="Times New Roman"/>
          <w:b/>
          <w:bCs/>
          <w:spacing w:val="-3"/>
          <w:sz w:val="24"/>
          <w:szCs w:val="24"/>
        </w:rPr>
        <w:t>PENNSYLVANIA PUBLIC UTILITY COMMISSION</w:t>
      </w:r>
    </w:p>
    <w:p w14:paraId="013B3ABF" w14:textId="77777777" w:rsidR="00F43C78" w:rsidRPr="00D93B48" w:rsidRDefault="00F43C78" w:rsidP="00F43C7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8496A7B" w14:textId="77777777" w:rsidR="00F43C78" w:rsidRPr="00D93B48" w:rsidRDefault="00F43C78" w:rsidP="00F43C7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386DA43" w14:textId="77777777" w:rsidR="00F43C78" w:rsidRPr="00D93B48" w:rsidRDefault="00F43C78" w:rsidP="00F43C7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76FF8A8" w14:textId="0680D931" w:rsidR="00F43C78" w:rsidRPr="00D93B48" w:rsidRDefault="00F43C78" w:rsidP="00F43C78">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Christopher Coe</w:t>
      </w:r>
      <w:r w:rsidRPr="00D93B48">
        <w:rPr>
          <w:rFonts w:ascii="Times New Roman" w:eastAsia="Times New Roman" w:hAnsi="Times New Roman" w:cs="Times New Roman"/>
          <w:spacing w:val="-3"/>
          <w:sz w:val="24"/>
          <w:szCs w:val="24"/>
        </w:rPr>
        <w:tab/>
      </w:r>
      <w:r w:rsidRPr="00D93B48">
        <w:rPr>
          <w:rFonts w:ascii="Times New Roman" w:eastAsia="Times New Roman" w:hAnsi="Times New Roman" w:cs="Times New Roman"/>
          <w:spacing w:val="-3"/>
          <w:sz w:val="24"/>
          <w:szCs w:val="24"/>
        </w:rPr>
        <w:tab/>
        <w:t>:</w:t>
      </w:r>
    </w:p>
    <w:p w14:paraId="5DA32756" w14:textId="77777777" w:rsidR="00F43C78" w:rsidRPr="00D93B48" w:rsidRDefault="00F43C78" w:rsidP="00F43C78">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ab/>
      </w:r>
      <w:r w:rsidRPr="00D93B48">
        <w:rPr>
          <w:rFonts w:ascii="Times New Roman" w:eastAsia="Times New Roman" w:hAnsi="Times New Roman" w:cs="Times New Roman"/>
          <w:spacing w:val="-3"/>
          <w:sz w:val="24"/>
          <w:szCs w:val="24"/>
        </w:rPr>
        <w:tab/>
      </w:r>
      <w:r w:rsidRPr="00D93B48">
        <w:rPr>
          <w:rFonts w:ascii="Times New Roman" w:eastAsia="Times New Roman" w:hAnsi="Times New Roman" w:cs="Times New Roman"/>
          <w:spacing w:val="-3"/>
          <w:sz w:val="24"/>
          <w:szCs w:val="24"/>
        </w:rPr>
        <w:tab/>
        <w:t>:</w:t>
      </w:r>
    </w:p>
    <w:p w14:paraId="5728F412" w14:textId="24162C81" w:rsidR="00F43C78" w:rsidRPr="00D93B48" w:rsidRDefault="00F43C78" w:rsidP="00F43C78">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ab/>
        <w:t>v.</w:t>
      </w:r>
      <w:r w:rsidRPr="00D93B48">
        <w:rPr>
          <w:rFonts w:ascii="Times New Roman" w:eastAsia="Times New Roman" w:hAnsi="Times New Roman" w:cs="Times New Roman"/>
          <w:spacing w:val="-3"/>
          <w:sz w:val="24"/>
          <w:szCs w:val="24"/>
        </w:rPr>
        <w:tab/>
      </w:r>
      <w:r w:rsidRPr="00D93B48">
        <w:rPr>
          <w:rFonts w:ascii="Times New Roman" w:eastAsia="Times New Roman" w:hAnsi="Times New Roman" w:cs="Times New Roman"/>
          <w:spacing w:val="-3"/>
          <w:sz w:val="24"/>
          <w:szCs w:val="24"/>
        </w:rPr>
        <w:tab/>
        <w:t>:</w:t>
      </w:r>
      <w:r w:rsidRPr="00D93B48">
        <w:rPr>
          <w:rFonts w:ascii="Times New Roman" w:eastAsia="Times New Roman" w:hAnsi="Times New Roman" w:cs="Times New Roman"/>
          <w:spacing w:val="-3"/>
          <w:sz w:val="24"/>
          <w:szCs w:val="24"/>
        </w:rPr>
        <w:tab/>
      </w:r>
      <w:r w:rsidRPr="00D93B48">
        <w:rPr>
          <w:rFonts w:ascii="Times New Roman" w:eastAsia="Times New Roman" w:hAnsi="Times New Roman" w:cs="Times New Roman"/>
          <w:spacing w:val="-3"/>
          <w:sz w:val="24"/>
          <w:szCs w:val="24"/>
        </w:rPr>
        <w:tab/>
        <w:t>C-2023-304</w:t>
      </w:r>
      <w:r w:rsidR="005A2E77" w:rsidRPr="00D93B48">
        <w:rPr>
          <w:rFonts w:ascii="Times New Roman" w:eastAsia="Times New Roman" w:hAnsi="Times New Roman" w:cs="Times New Roman"/>
          <w:spacing w:val="-3"/>
          <w:sz w:val="24"/>
          <w:szCs w:val="24"/>
        </w:rPr>
        <w:t>3975</w:t>
      </w:r>
    </w:p>
    <w:p w14:paraId="59282A9B" w14:textId="77777777" w:rsidR="00F43C78" w:rsidRPr="00D93B48" w:rsidRDefault="00F43C78" w:rsidP="00F43C78">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ab/>
      </w:r>
      <w:r w:rsidRPr="00D93B48">
        <w:rPr>
          <w:rFonts w:ascii="Times New Roman" w:eastAsia="Times New Roman" w:hAnsi="Times New Roman" w:cs="Times New Roman"/>
          <w:spacing w:val="-3"/>
          <w:sz w:val="24"/>
          <w:szCs w:val="24"/>
        </w:rPr>
        <w:tab/>
      </w:r>
      <w:r w:rsidRPr="00D93B48">
        <w:rPr>
          <w:rFonts w:ascii="Times New Roman" w:eastAsia="Times New Roman" w:hAnsi="Times New Roman" w:cs="Times New Roman"/>
          <w:spacing w:val="-3"/>
          <w:sz w:val="24"/>
          <w:szCs w:val="24"/>
        </w:rPr>
        <w:tab/>
        <w:t>:</w:t>
      </w:r>
    </w:p>
    <w:p w14:paraId="74F774DE" w14:textId="2A1E601A" w:rsidR="00F43C78" w:rsidRPr="00D93B48" w:rsidRDefault="00F43C78" w:rsidP="00F43C78">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Philadelphia Gas Works</w:t>
      </w:r>
      <w:r w:rsidRPr="00D93B48">
        <w:rPr>
          <w:rFonts w:ascii="Times New Roman" w:eastAsia="Times New Roman" w:hAnsi="Times New Roman" w:cs="Times New Roman"/>
          <w:spacing w:val="-3"/>
          <w:sz w:val="24"/>
          <w:szCs w:val="24"/>
        </w:rPr>
        <w:tab/>
        <w:t>:</w:t>
      </w:r>
    </w:p>
    <w:p w14:paraId="544B4C74" w14:textId="77777777" w:rsidR="00F43C78" w:rsidRPr="00D93B48" w:rsidRDefault="00F43C78" w:rsidP="00F43C7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7C0D5E1" w14:textId="77777777" w:rsidR="00F43C78" w:rsidRPr="00D93B48" w:rsidRDefault="00F43C78" w:rsidP="00F43C7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BDA0D79" w14:textId="77777777" w:rsidR="00F43C78" w:rsidRPr="00D93B48" w:rsidRDefault="00F43C78" w:rsidP="00F43C7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743DB03" w14:textId="00B3E022" w:rsidR="00F43C78" w:rsidRPr="00D93B48" w:rsidRDefault="00F43C78" w:rsidP="00F43C78">
      <w:pPr>
        <w:tabs>
          <w:tab w:val="left" w:pos="204"/>
        </w:tabs>
        <w:autoSpaceDE w:val="0"/>
        <w:autoSpaceDN w:val="0"/>
        <w:spacing w:after="0" w:line="360" w:lineRule="auto"/>
        <w:jc w:val="center"/>
        <w:rPr>
          <w:rFonts w:ascii="Times New Roman" w:eastAsia="Times New Roman" w:hAnsi="Times New Roman" w:cs="Times New Roman"/>
          <w:b/>
          <w:bCs/>
          <w:sz w:val="24"/>
          <w:szCs w:val="24"/>
          <w:u w:val="single"/>
        </w:rPr>
      </w:pPr>
      <w:r w:rsidRPr="00D93B48">
        <w:rPr>
          <w:rFonts w:ascii="Times New Roman" w:eastAsia="Times New Roman" w:hAnsi="Times New Roman" w:cs="Times New Roman"/>
          <w:b/>
          <w:bCs/>
          <w:sz w:val="24"/>
          <w:szCs w:val="24"/>
          <w:u w:val="single"/>
        </w:rPr>
        <w:t xml:space="preserve">INTERIM ORDER </w:t>
      </w:r>
      <w:r w:rsidR="00AC29FA" w:rsidRPr="00D93B48">
        <w:rPr>
          <w:rFonts w:ascii="Times New Roman" w:eastAsia="Times New Roman" w:hAnsi="Times New Roman" w:cs="Times New Roman"/>
          <w:b/>
          <w:bCs/>
          <w:sz w:val="24"/>
          <w:szCs w:val="24"/>
          <w:u w:val="single"/>
        </w:rPr>
        <w:t xml:space="preserve">GRANTING PGW’S </w:t>
      </w:r>
      <w:r w:rsidRPr="00D93B48">
        <w:rPr>
          <w:rFonts w:ascii="Times New Roman" w:eastAsia="Times New Roman" w:hAnsi="Times New Roman" w:cs="Times New Roman"/>
          <w:b/>
          <w:bCs/>
          <w:sz w:val="24"/>
          <w:szCs w:val="24"/>
          <w:u w:val="single"/>
        </w:rPr>
        <w:t>PRELIMINARY OBJECTION</w:t>
      </w:r>
      <w:r w:rsidR="00AC29FA" w:rsidRPr="00D93B48">
        <w:rPr>
          <w:rFonts w:ascii="Times New Roman" w:eastAsia="Times New Roman" w:hAnsi="Times New Roman" w:cs="Times New Roman"/>
          <w:b/>
          <w:bCs/>
          <w:sz w:val="24"/>
          <w:szCs w:val="24"/>
          <w:u w:val="single"/>
        </w:rPr>
        <w:t xml:space="preserve"> AND </w:t>
      </w:r>
      <w:r w:rsidR="00C07FF1" w:rsidRPr="00D93B48">
        <w:rPr>
          <w:rFonts w:ascii="Times New Roman" w:eastAsia="Times New Roman" w:hAnsi="Times New Roman" w:cs="Times New Roman"/>
          <w:b/>
          <w:bCs/>
          <w:sz w:val="24"/>
          <w:szCs w:val="24"/>
          <w:u w:val="single"/>
        </w:rPr>
        <w:t>SCHEDULING A PREHEHARING CONFERENCE</w:t>
      </w:r>
    </w:p>
    <w:p w14:paraId="7135C5E6" w14:textId="77777777" w:rsidR="00F43C78" w:rsidRPr="00D93B48" w:rsidRDefault="00F43C78" w:rsidP="00F43C78">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6F5F128" w14:textId="049CA983" w:rsidR="00F43C78" w:rsidRPr="00D93B48" w:rsidRDefault="00F43C78" w:rsidP="00F43C7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On October 31, 2023, Christopher Coe (Complainant or Mr. Coe) filed a Formal Complaint (</w:t>
      </w:r>
      <w:r w:rsidR="00EA1558" w:rsidRPr="00D93B48">
        <w:rPr>
          <w:rFonts w:ascii="Times New Roman" w:eastAsia="Times New Roman" w:hAnsi="Times New Roman" w:cs="Times New Roman"/>
          <w:spacing w:val="-3"/>
          <w:sz w:val="24"/>
          <w:szCs w:val="24"/>
        </w:rPr>
        <w:t xml:space="preserve">Original </w:t>
      </w:r>
      <w:r w:rsidRPr="00D93B48">
        <w:rPr>
          <w:rFonts w:ascii="Times New Roman" w:eastAsia="Times New Roman" w:hAnsi="Times New Roman" w:cs="Times New Roman"/>
          <w:spacing w:val="-3"/>
          <w:sz w:val="24"/>
          <w:szCs w:val="24"/>
        </w:rPr>
        <w:t xml:space="preserve">Complaint) against Philadelphia Gas Works (PGW, Respondent or Company) with the Pennsylvania Public Utility Commission (Commission).  In the </w:t>
      </w:r>
      <w:r w:rsidR="008B345B" w:rsidRPr="00D93B48">
        <w:rPr>
          <w:rFonts w:ascii="Times New Roman" w:eastAsia="Times New Roman" w:hAnsi="Times New Roman" w:cs="Times New Roman"/>
          <w:spacing w:val="-3"/>
          <w:sz w:val="24"/>
          <w:szCs w:val="24"/>
        </w:rPr>
        <w:t xml:space="preserve">Original </w:t>
      </w:r>
      <w:r w:rsidRPr="00D93B48">
        <w:rPr>
          <w:rFonts w:ascii="Times New Roman" w:eastAsia="Times New Roman" w:hAnsi="Times New Roman" w:cs="Times New Roman"/>
          <w:spacing w:val="-3"/>
          <w:sz w:val="24"/>
          <w:szCs w:val="24"/>
        </w:rPr>
        <w:t xml:space="preserve">Complaint, Mr. Coe alleged that PGW has shut-off </w:t>
      </w:r>
      <w:proofErr w:type="gramStart"/>
      <w:r w:rsidRPr="00D93B48">
        <w:rPr>
          <w:rFonts w:ascii="Times New Roman" w:eastAsia="Times New Roman" w:hAnsi="Times New Roman" w:cs="Times New Roman"/>
          <w:spacing w:val="-3"/>
          <w:sz w:val="24"/>
          <w:szCs w:val="24"/>
        </w:rPr>
        <w:t>his</w:t>
      </w:r>
      <w:proofErr w:type="gramEnd"/>
      <w:r w:rsidRPr="00D93B48">
        <w:rPr>
          <w:rFonts w:ascii="Times New Roman" w:eastAsia="Times New Roman" w:hAnsi="Times New Roman" w:cs="Times New Roman"/>
          <w:spacing w:val="-3"/>
          <w:sz w:val="24"/>
          <w:szCs w:val="24"/>
        </w:rPr>
        <w:t xml:space="preserve"> gas service at 879 North Brooklyn Street, Philadelphia, PA 19104.  In addition, Mr. Coe allege</w:t>
      </w:r>
      <w:r w:rsidR="004577A1" w:rsidRPr="00D93B48">
        <w:rPr>
          <w:rFonts w:ascii="Times New Roman" w:eastAsia="Times New Roman" w:hAnsi="Times New Roman" w:cs="Times New Roman"/>
          <w:spacing w:val="-3"/>
          <w:sz w:val="24"/>
          <w:szCs w:val="24"/>
        </w:rPr>
        <w:t>d</w:t>
      </w:r>
      <w:r w:rsidRPr="00D93B48">
        <w:rPr>
          <w:rFonts w:ascii="Times New Roman" w:eastAsia="Times New Roman" w:hAnsi="Times New Roman" w:cs="Times New Roman"/>
          <w:spacing w:val="-3"/>
          <w:sz w:val="24"/>
          <w:szCs w:val="24"/>
        </w:rPr>
        <w:t xml:space="preserve"> that “PGW hasn’t been 100% transparent with the agreement that they have with the City of Philadelphia and me as a Note Holder.  I have knowledge of m</w:t>
      </w:r>
      <w:r w:rsidR="007174FA" w:rsidRPr="00D93B48">
        <w:rPr>
          <w:rFonts w:ascii="Times New Roman" w:eastAsia="Times New Roman" w:hAnsi="Times New Roman" w:cs="Times New Roman"/>
          <w:spacing w:val="-3"/>
          <w:sz w:val="24"/>
          <w:szCs w:val="24"/>
        </w:rPr>
        <w:t>y</w:t>
      </w:r>
      <w:r w:rsidRPr="00D93B48">
        <w:rPr>
          <w:rFonts w:ascii="Times New Roman" w:eastAsia="Times New Roman" w:hAnsi="Times New Roman" w:cs="Times New Roman"/>
          <w:spacing w:val="-3"/>
          <w:sz w:val="24"/>
          <w:szCs w:val="24"/>
        </w:rPr>
        <w:t xml:space="preserve"> equitable interest in the securities that are being traded by PGW in connection to the account bearing my name.”  </w:t>
      </w:r>
      <w:r w:rsidR="008B345B" w:rsidRPr="00D93B48">
        <w:rPr>
          <w:rFonts w:ascii="Times New Roman" w:eastAsia="Times New Roman" w:hAnsi="Times New Roman" w:cs="Times New Roman"/>
          <w:spacing w:val="-3"/>
          <w:sz w:val="24"/>
          <w:szCs w:val="24"/>
        </w:rPr>
        <w:t xml:space="preserve">Original </w:t>
      </w:r>
      <w:r w:rsidRPr="00D93B48">
        <w:rPr>
          <w:rFonts w:ascii="Times New Roman" w:eastAsia="Times New Roman" w:hAnsi="Times New Roman" w:cs="Times New Roman"/>
          <w:spacing w:val="-3"/>
          <w:sz w:val="24"/>
          <w:szCs w:val="24"/>
        </w:rPr>
        <w:t>Complaint ¶ 4.  As relief, the Complainant requested as follows,</w:t>
      </w:r>
    </w:p>
    <w:p w14:paraId="143154E4" w14:textId="1DB399C3" w:rsidR="00F43C78" w:rsidRPr="00D93B48" w:rsidRDefault="00F43C78" w:rsidP="00F43C78">
      <w:pPr>
        <w:tabs>
          <w:tab w:val="left" w:pos="-720"/>
        </w:tabs>
        <w:suppressAutoHyphens/>
        <w:autoSpaceDE w:val="0"/>
        <w:autoSpaceDN w:val="0"/>
        <w:spacing w:after="0" w:line="240" w:lineRule="auto"/>
        <w:ind w:left="1440" w:right="1440"/>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 xml:space="preserve">“…the PUC order PGW to immediately restore service to my home. In addition, </w:t>
      </w:r>
      <w:r w:rsidR="00D15F9D" w:rsidRPr="00D93B48">
        <w:rPr>
          <w:rFonts w:ascii="Times New Roman" w:eastAsia="Times New Roman" w:hAnsi="Times New Roman" w:cs="Times New Roman"/>
          <w:spacing w:val="-3"/>
          <w:sz w:val="24"/>
          <w:szCs w:val="24"/>
        </w:rPr>
        <w:t>I</w:t>
      </w:r>
      <w:r w:rsidRPr="00D93B48">
        <w:rPr>
          <w:rFonts w:ascii="Times New Roman" w:eastAsia="Times New Roman" w:hAnsi="Times New Roman" w:cs="Times New Roman"/>
          <w:spacing w:val="-3"/>
          <w:sz w:val="24"/>
          <w:szCs w:val="24"/>
        </w:rPr>
        <w:t xml:space="preserve"> would like PUC to order PGW to release the location and contact information for the Transfer Agent/Indenture Trustee of the company in order for me to sell the short-term securities in which </w:t>
      </w:r>
      <w:r w:rsidR="00DE59EA" w:rsidRPr="00D93B48">
        <w:rPr>
          <w:rFonts w:ascii="Times New Roman" w:eastAsia="Times New Roman" w:hAnsi="Times New Roman" w:cs="Times New Roman"/>
          <w:spacing w:val="-3"/>
          <w:sz w:val="24"/>
          <w:szCs w:val="24"/>
        </w:rPr>
        <w:t>I</w:t>
      </w:r>
      <w:r w:rsidRPr="00D93B48">
        <w:rPr>
          <w:rFonts w:ascii="Times New Roman" w:eastAsia="Times New Roman" w:hAnsi="Times New Roman" w:cs="Times New Roman"/>
          <w:spacing w:val="-3"/>
          <w:sz w:val="24"/>
          <w:szCs w:val="24"/>
        </w:rPr>
        <w:t xml:space="preserve"> have an equitable security interest in, or for PGW to directly order the Transfer of the book-entry securities to my Treasury Direct Account where they will be converted and issued a new CUSIP for trading purposes. (For clarity on the request for endorsement information please see 31 CFR 328.6 under the Requirements for Endorsement as well as Notes Payable under PGW's Financial information</w:t>
      </w:r>
      <w:r w:rsidR="00DE59EA" w:rsidRPr="00D93B48">
        <w:rPr>
          <w:rFonts w:ascii="Times New Roman" w:eastAsia="Times New Roman" w:hAnsi="Times New Roman" w:cs="Times New Roman"/>
          <w:spacing w:val="-3"/>
          <w:sz w:val="24"/>
          <w:szCs w:val="24"/>
        </w:rPr>
        <w:t>)</w:t>
      </w:r>
      <w:r w:rsidRPr="00D93B48">
        <w:rPr>
          <w:rFonts w:ascii="Times New Roman" w:eastAsia="Times New Roman" w:hAnsi="Times New Roman" w:cs="Times New Roman"/>
          <w:spacing w:val="-3"/>
          <w:sz w:val="24"/>
          <w:szCs w:val="24"/>
        </w:rPr>
        <w:t>.”</w:t>
      </w:r>
    </w:p>
    <w:p w14:paraId="08859438" w14:textId="2C9F3BA5" w:rsidR="005D0B7A" w:rsidRPr="00D93B48" w:rsidRDefault="008B345B" w:rsidP="00F43C78">
      <w:pPr>
        <w:tabs>
          <w:tab w:val="left" w:pos="-720"/>
          <w:tab w:val="left" w:pos="0"/>
        </w:tabs>
        <w:suppressAutoHyphens/>
        <w:autoSpaceDE w:val="0"/>
        <w:autoSpaceDN w:val="0"/>
        <w:spacing w:after="0" w:line="360" w:lineRule="auto"/>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 xml:space="preserve">Original </w:t>
      </w:r>
      <w:r w:rsidR="005D0B7A" w:rsidRPr="00D93B48">
        <w:rPr>
          <w:rFonts w:ascii="Times New Roman" w:eastAsia="Times New Roman" w:hAnsi="Times New Roman" w:cs="Times New Roman"/>
          <w:spacing w:val="-3"/>
          <w:sz w:val="24"/>
          <w:szCs w:val="24"/>
        </w:rPr>
        <w:t>Complaint ¶ 5.</w:t>
      </w:r>
    </w:p>
    <w:p w14:paraId="49270FDF" w14:textId="08037AAB" w:rsidR="00F43C78" w:rsidRPr="00D93B48" w:rsidRDefault="005D0B7A" w:rsidP="00F43C78">
      <w:pPr>
        <w:tabs>
          <w:tab w:val="left" w:pos="-720"/>
          <w:tab w:val="left" w:pos="0"/>
        </w:tabs>
        <w:suppressAutoHyphens/>
        <w:autoSpaceDE w:val="0"/>
        <w:autoSpaceDN w:val="0"/>
        <w:spacing w:after="0" w:line="360" w:lineRule="auto"/>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 xml:space="preserve">  </w:t>
      </w:r>
    </w:p>
    <w:p w14:paraId="43925BA3" w14:textId="2E6ACD9D" w:rsidR="00F43C78" w:rsidRPr="00D93B48" w:rsidRDefault="00F43C78" w:rsidP="00F43C78">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 xml:space="preserve">On November 20, 2023, the Respondent filed an Answer and New Matter, along with a Notice to Plead.  In its Answer, PGW denied the material allegations of the </w:t>
      </w:r>
      <w:r w:rsidR="00AF1EC2" w:rsidRPr="00D93B48">
        <w:rPr>
          <w:rFonts w:ascii="Times New Roman" w:eastAsia="Times New Roman" w:hAnsi="Times New Roman" w:cs="Times New Roman"/>
          <w:spacing w:val="-3"/>
          <w:sz w:val="24"/>
          <w:szCs w:val="24"/>
        </w:rPr>
        <w:t xml:space="preserve">Original </w:t>
      </w:r>
      <w:r w:rsidRPr="00D93B48">
        <w:rPr>
          <w:rFonts w:ascii="Times New Roman" w:eastAsia="Times New Roman" w:hAnsi="Times New Roman" w:cs="Times New Roman"/>
          <w:spacing w:val="-3"/>
          <w:sz w:val="24"/>
          <w:szCs w:val="24"/>
        </w:rPr>
        <w:lastRenderedPageBreak/>
        <w:t xml:space="preserve">Complaint; whereas, in its New Matter, Respondent </w:t>
      </w:r>
      <w:r w:rsidR="005D0B7A" w:rsidRPr="00D93B48">
        <w:rPr>
          <w:rFonts w:ascii="Times New Roman" w:eastAsia="Times New Roman" w:hAnsi="Times New Roman" w:cs="Times New Roman"/>
          <w:spacing w:val="-3"/>
          <w:sz w:val="24"/>
          <w:szCs w:val="24"/>
        </w:rPr>
        <w:t>averred</w:t>
      </w:r>
      <w:r w:rsidRPr="00D93B48">
        <w:rPr>
          <w:rFonts w:ascii="Times New Roman" w:eastAsia="Times New Roman" w:hAnsi="Times New Roman" w:cs="Times New Roman"/>
          <w:spacing w:val="-3"/>
          <w:sz w:val="24"/>
          <w:szCs w:val="24"/>
        </w:rPr>
        <w:t xml:space="preserve"> that </w:t>
      </w:r>
      <w:r w:rsidR="007F0009" w:rsidRPr="00D93B48">
        <w:rPr>
          <w:rFonts w:ascii="Times New Roman" w:eastAsia="Times New Roman" w:hAnsi="Times New Roman" w:cs="Times New Roman"/>
          <w:spacing w:val="-3"/>
          <w:sz w:val="24"/>
          <w:szCs w:val="24"/>
        </w:rPr>
        <w:t>o</w:t>
      </w:r>
      <w:r w:rsidR="007F0009" w:rsidRPr="00D93B48">
        <w:rPr>
          <w:rFonts w:ascii="Times New Roman" w:hAnsi="Times New Roman" w:cs="Times New Roman"/>
          <w:sz w:val="24"/>
          <w:szCs w:val="24"/>
        </w:rPr>
        <w:t xml:space="preserve">n September 30, 2022, the Complainant filed a </w:t>
      </w:r>
      <w:r w:rsidR="006420B2" w:rsidRPr="00D93B48">
        <w:rPr>
          <w:rFonts w:ascii="Times New Roman" w:hAnsi="Times New Roman" w:cs="Times New Roman"/>
          <w:sz w:val="24"/>
          <w:szCs w:val="24"/>
        </w:rPr>
        <w:t>f</w:t>
      </w:r>
      <w:r w:rsidR="007F0009" w:rsidRPr="00D93B48">
        <w:rPr>
          <w:rFonts w:ascii="Times New Roman" w:hAnsi="Times New Roman" w:cs="Times New Roman"/>
          <w:sz w:val="24"/>
          <w:szCs w:val="24"/>
        </w:rPr>
        <w:t xml:space="preserve">ormal </w:t>
      </w:r>
      <w:r w:rsidR="006420B2" w:rsidRPr="00D93B48">
        <w:rPr>
          <w:rFonts w:ascii="Times New Roman" w:hAnsi="Times New Roman" w:cs="Times New Roman"/>
          <w:sz w:val="24"/>
          <w:szCs w:val="24"/>
        </w:rPr>
        <w:t>c</w:t>
      </w:r>
      <w:r w:rsidR="007F0009" w:rsidRPr="00D93B48">
        <w:rPr>
          <w:rFonts w:ascii="Times New Roman" w:hAnsi="Times New Roman" w:cs="Times New Roman"/>
          <w:sz w:val="24"/>
          <w:szCs w:val="24"/>
        </w:rPr>
        <w:t xml:space="preserve">omplaint at Docket No. C-2022-3035763, wherein allegations similar to the allegations in the </w:t>
      </w:r>
      <w:r w:rsidR="006420B2" w:rsidRPr="00D93B48">
        <w:rPr>
          <w:rFonts w:ascii="Times New Roman" w:hAnsi="Times New Roman" w:cs="Times New Roman"/>
          <w:sz w:val="24"/>
          <w:szCs w:val="24"/>
        </w:rPr>
        <w:t xml:space="preserve">Original </w:t>
      </w:r>
      <w:r w:rsidR="007F0009" w:rsidRPr="00D93B48">
        <w:rPr>
          <w:rFonts w:ascii="Times New Roman" w:hAnsi="Times New Roman" w:cs="Times New Roman"/>
          <w:sz w:val="24"/>
          <w:szCs w:val="24"/>
        </w:rPr>
        <w:t>Complaint were made against PGW.</w:t>
      </w:r>
      <w:r w:rsidR="00652688" w:rsidRPr="00D93B48">
        <w:rPr>
          <w:rFonts w:ascii="Times New Roman" w:hAnsi="Times New Roman" w:cs="Times New Roman"/>
          <w:sz w:val="24"/>
          <w:szCs w:val="24"/>
        </w:rPr>
        <w:t xml:space="preserve"> </w:t>
      </w:r>
      <w:r w:rsidR="007F0009" w:rsidRPr="00D93B48">
        <w:rPr>
          <w:rFonts w:ascii="Times New Roman" w:hAnsi="Times New Roman" w:cs="Times New Roman"/>
          <w:sz w:val="24"/>
          <w:szCs w:val="24"/>
        </w:rPr>
        <w:t xml:space="preserve"> On July 7, 2023, the Commission issued a Final Order, dismissing the complaint at Docket No. C-2022-3035763.  </w:t>
      </w:r>
      <w:r w:rsidR="003F6D58" w:rsidRPr="00D93B48">
        <w:rPr>
          <w:rFonts w:ascii="Times New Roman" w:hAnsi="Times New Roman" w:cs="Times New Roman"/>
          <w:sz w:val="24"/>
          <w:szCs w:val="24"/>
        </w:rPr>
        <w:t>PGW argue</w:t>
      </w:r>
      <w:r w:rsidR="00763A09" w:rsidRPr="00D93B48">
        <w:rPr>
          <w:rFonts w:ascii="Times New Roman" w:hAnsi="Times New Roman" w:cs="Times New Roman"/>
          <w:sz w:val="24"/>
          <w:szCs w:val="24"/>
        </w:rPr>
        <w:t>d</w:t>
      </w:r>
      <w:r w:rsidR="003F6D58" w:rsidRPr="00D93B48">
        <w:rPr>
          <w:rFonts w:ascii="Times New Roman" w:hAnsi="Times New Roman" w:cs="Times New Roman"/>
          <w:sz w:val="24"/>
          <w:szCs w:val="24"/>
        </w:rPr>
        <w:t xml:space="preserve"> that, </w:t>
      </w:r>
      <w:r w:rsidRPr="00D93B48">
        <w:rPr>
          <w:rFonts w:ascii="Times New Roman" w:eastAsia="Times New Roman" w:hAnsi="Times New Roman" w:cs="Times New Roman"/>
          <w:spacing w:val="-3"/>
          <w:sz w:val="24"/>
          <w:szCs w:val="24"/>
        </w:rPr>
        <w:t xml:space="preserve">to the extent that the Complainant seeks an award of monetary damages against PGW, such relief is beyond the jurisdiction of the Commission.  </w:t>
      </w:r>
      <w:r w:rsidR="007F0009" w:rsidRPr="00D93B48">
        <w:rPr>
          <w:rFonts w:ascii="Times New Roman" w:hAnsi="Times New Roman" w:cs="Times New Roman"/>
          <w:sz w:val="24"/>
          <w:szCs w:val="24"/>
        </w:rPr>
        <w:t>PGW further argue</w:t>
      </w:r>
      <w:r w:rsidR="00763A09" w:rsidRPr="00D93B48">
        <w:rPr>
          <w:rFonts w:ascii="Times New Roman" w:hAnsi="Times New Roman" w:cs="Times New Roman"/>
          <w:sz w:val="24"/>
          <w:szCs w:val="24"/>
        </w:rPr>
        <w:t>d</w:t>
      </w:r>
      <w:r w:rsidR="007F0009" w:rsidRPr="00D93B48">
        <w:rPr>
          <w:rFonts w:ascii="Times New Roman" w:hAnsi="Times New Roman" w:cs="Times New Roman"/>
          <w:sz w:val="24"/>
          <w:szCs w:val="24"/>
        </w:rPr>
        <w:t xml:space="preserve"> that the Commission does not have jurisdiction over the “ordinances and resolutions of the City” that permit an entity to “sell short-term notes in a principal amount that together with interest cannot exceed 150.0 million outstanding at any time.”  </w:t>
      </w:r>
      <w:r w:rsidR="009B43C2" w:rsidRPr="00D93B48">
        <w:rPr>
          <w:rFonts w:ascii="Times New Roman" w:hAnsi="Times New Roman" w:cs="Times New Roman"/>
          <w:sz w:val="24"/>
          <w:szCs w:val="24"/>
        </w:rPr>
        <w:t xml:space="preserve">Additionally, </w:t>
      </w:r>
      <w:r w:rsidR="007F0009" w:rsidRPr="00D93B48">
        <w:rPr>
          <w:rFonts w:ascii="Times New Roman" w:hAnsi="Times New Roman" w:cs="Times New Roman"/>
          <w:sz w:val="24"/>
          <w:szCs w:val="24"/>
        </w:rPr>
        <w:t xml:space="preserve">PGW explained that the Commission does not have jurisdiction over issues arising out of 31 CFR 328.6.  Ultimately, PGW averred that the Complainant fails to set forth “the act or thing done or omitted to be done” by a public utility “in violation, or claimed violation, of any law which the commission has jurisdiction to administer, or of any regulation or order of the commission.” 66 </w:t>
      </w:r>
      <w:proofErr w:type="spellStart"/>
      <w:r w:rsidR="007F0009" w:rsidRPr="00D93B48">
        <w:rPr>
          <w:rFonts w:ascii="Times New Roman" w:hAnsi="Times New Roman" w:cs="Times New Roman"/>
          <w:sz w:val="24"/>
          <w:szCs w:val="24"/>
        </w:rPr>
        <w:t>Pa.C.S</w:t>
      </w:r>
      <w:proofErr w:type="spellEnd"/>
      <w:r w:rsidR="007F0009" w:rsidRPr="00D93B48">
        <w:rPr>
          <w:rFonts w:ascii="Times New Roman" w:hAnsi="Times New Roman" w:cs="Times New Roman"/>
          <w:sz w:val="24"/>
          <w:szCs w:val="24"/>
        </w:rPr>
        <w:t xml:space="preserve">. § 701. </w:t>
      </w:r>
      <w:r w:rsidR="005E2C8E" w:rsidRPr="00D93B48">
        <w:rPr>
          <w:rFonts w:ascii="Times New Roman" w:hAnsi="Times New Roman" w:cs="Times New Roman"/>
          <w:sz w:val="24"/>
          <w:szCs w:val="24"/>
        </w:rPr>
        <w:t xml:space="preserve"> </w:t>
      </w:r>
      <w:r w:rsidR="007F0009" w:rsidRPr="00D93B48">
        <w:rPr>
          <w:rFonts w:ascii="Times New Roman" w:hAnsi="Times New Roman" w:cs="Times New Roman"/>
          <w:sz w:val="24"/>
          <w:szCs w:val="24"/>
        </w:rPr>
        <w:t xml:space="preserve">The Complaint fails to set forth “[a] clear and concise statement of the act or omission being complained of including the result of any informal complaint or informal investigation.” </w:t>
      </w:r>
      <w:r w:rsidR="009B43C2" w:rsidRPr="00D93B48">
        <w:rPr>
          <w:rFonts w:ascii="Times New Roman" w:hAnsi="Times New Roman" w:cs="Times New Roman"/>
          <w:sz w:val="24"/>
          <w:szCs w:val="24"/>
        </w:rPr>
        <w:t xml:space="preserve"> </w:t>
      </w:r>
      <w:r w:rsidR="007F0009" w:rsidRPr="00D93B48">
        <w:rPr>
          <w:rFonts w:ascii="Times New Roman" w:hAnsi="Times New Roman" w:cs="Times New Roman"/>
          <w:sz w:val="24"/>
          <w:szCs w:val="24"/>
        </w:rPr>
        <w:t>52 Pa. Code § 5.22(a)(5).  New Matter ¶¶ 18-21.</w:t>
      </w:r>
    </w:p>
    <w:p w14:paraId="60D24784" w14:textId="77777777" w:rsidR="00F43C78" w:rsidRPr="00D93B48" w:rsidRDefault="00F43C78" w:rsidP="00F43C78">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C1D4FC5" w14:textId="68950953" w:rsidR="005E2C8E" w:rsidRPr="00D93B48" w:rsidRDefault="00F43C78" w:rsidP="005E2C8E">
      <w:pPr>
        <w:tabs>
          <w:tab w:val="left" w:pos="-720"/>
          <w:tab w:val="left" w:pos="0"/>
        </w:tabs>
        <w:suppressAutoHyphens/>
        <w:autoSpaceDE w:val="0"/>
        <w:autoSpaceDN w:val="0"/>
        <w:spacing w:after="0" w:line="360" w:lineRule="auto"/>
        <w:ind w:firstLine="1440"/>
        <w:rPr>
          <w:rFonts w:ascii="Times New Roman" w:hAnsi="Times New Roman" w:cs="Times New Roman"/>
          <w:sz w:val="24"/>
          <w:szCs w:val="24"/>
        </w:rPr>
      </w:pPr>
      <w:r w:rsidRPr="00D93B48">
        <w:rPr>
          <w:rFonts w:ascii="Times New Roman" w:eastAsia="Times New Roman" w:hAnsi="Times New Roman" w:cs="Times New Roman"/>
          <w:spacing w:val="-3"/>
          <w:sz w:val="24"/>
          <w:szCs w:val="24"/>
        </w:rPr>
        <w:t>Also on November 2</w:t>
      </w:r>
      <w:r w:rsidR="005D0B7A" w:rsidRPr="00D93B48">
        <w:rPr>
          <w:rFonts w:ascii="Times New Roman" w:eastAsia="Times New Roman" w:hAnsi="Times New Roman" w:cs="Times New Roman"/>
          <w:spacing w:val="-3"/>
          <w:sz w:val="24"/>
          <w:szCs w:val="24"/>
        </w:rPr>
        <w:t>0</w:t>
      </w:r>
      <w:r w:rsidRPr="00D93B48">
        <w:rPr>
          <w:rFonts w:ascii="Times New Roman" w:eastAsia="Times New Roman" w:hAnsi="Times New Roman" w:cs="Times New Roman"/>
          <w:spacing w:val="-3"/>
          <w:sz w:val="24"/>
          <w:szCs w:val="24"/>
        </w:rPr>
        <w:t xml:space="preserve">, 2023, the Respondent filed a Preliminary Objection to the </w:t>
      </w:r>
      <w:r w:rsidR="00EC5F87" w:rsidRPr="00D93B48">
        <w:rPr>
          <w:rFonts w:ascii="Times New Roman" w:eastAsia="Times New Roman" w:hAnsi="Times New Roman" w:cs="Times New Roman"/>
          <w:spacing w:val="-3"/>
          <w:sz w:val="24"/>
          <w:szCs w:val="24"/>
        </w:rPr>
        <w:t xml:space="preserve">Original </w:t>
      </w:r>
      <w:r w:rsidRPr="00D93B48">
        <w:rPr>
          <w:rFonts w:ascii="Times New Roman" w:eastAsia="Times New Roman" w:hAnsi="Times New Roman" w:cs="Times New Roman"/>
          <w:spacing w:val="-3"/>
          <w:sz w:val="24"/>
          <w:szCs w:val="24"/>
        </w:rPr>
        <w:t xml:space="preserve">Complaint.  The Respondent </w:t>
      </w:r>
      <w:r w:rsidR="007F0009" w:rsidRPr="00D93B48">
        <w:rPr>
          <w:rFonts w:ascii="Times New Roman" w:eastAsia="Times New Roman" w:hAnsi="Times New Roman" w:cs="Times New Roman"/>
          <w:spacing w:val="-3"/>
          <w:sz w:val="24"/>
          <w:szCs w:val="24"/>
        </w:rPr>
        <w:t>sought</w:t>
      </w:r>
      <w:r w:rsidRPr="00D93B48">
        <w:rPr>
          <w:rFonts w:ascii="Times New Roman" w:eastAsia="Times New Roman" w:hAnsi="Times New Roman" w:cs="Times New Roman"/>
          <w:spacing w:val="-3"/>
          <w:sz w:val="24"/>
          <w:szCs w:val="24"/>
        </w:rPr>
        <w:t xml:space="preserve"> dismissal of the</w:t>
      </w:r>
      <w:r w:rsidR="009B43C2" w:rsidRPr="00D93B48">
        <w:rPr>
          <w:rFonts w:ascii="Times New Roman" w:eastAsia="Times New Roman" w:hAnsi="Times New Roman" w:cs="Times New Roman"/>
          <w:spacing w:val="-3"/>
          <w:sz w:val="24"/>
          <w:szCs w:val="24"/>
        </w:rPr>
        <w:t xml:space="preserve"> Original</w:t>
      </w:r>
      <w:r w:rsidRPr="00D93B48">
        <w:rPr>
          <w:rFonts w:ascii="Times New Roman" w:eastAsia="Times New Roman" w:hAnsi="Times New Roman" w:cs="Times New Roman"/>
          <w:spacing w:val="-3"/>
          <w:sz w:val="24"/>
          <w:szCs w:val="24"/>
        </w:rPr>
        <w:t xml:space="preserve"> Complaint because</w:t>
      </w:r>
      <w:r w:rsidR="005E2C8E" w:rsidRPr="00D93B48">
        <w:rPr>
          <w:rFonts w:ascii="Times New Roman" w:eastAsia="Times New Roman" w:hAnsi="Times New Roman" w:cs="Times New Roman"/>
          <w:spacing w:val="-3"/>
          <w:sz w:val="24"/>
          <w:szCs w:val="24"/>
        </w:rPr>
        <w:t>: 1) th</w:t>
      </w:r>
      <w:r w:rsidR="005E2C8E" w:rsidRPr="00D93B48">
        <w:rPr>
          <w:rFonts w:ascii="Times New Roman" w:eastAsia="Times New Roman" w:hAnsi="Times New Roman" w:cs="Times New Roman"/>
          <w:sz w:val="24"/>
          <w:szCs w:val="24"/>
        </w:rPr>
        <w:t>e Commission lacks jurisdiction over claims based on alleged violations of ordinances and resolutions of the City as well as 31 CFR 328.6; and 2) t</w:t>
      </w:r>
      <w:r w:rsidR="005E2C8E" w:rsidRPr="00D93B48">
        <w:rPr>
          <w:rFonts w:ascii="Times New Roman" w:hAnsi="Times New Roman" w:cs="Times New Roman"/>
          <w:sz w:val="24"/>
          <w:szCs w:val="24"/>
        </w:rPr>
        <w:t xml:space="preserve">he </w:t>
      </w:r>
      <w:r w:rsidR="007B1B22" w:rsidRPr="00D93B48">
        <w:rPr>
          <w:rFonts w:ascii="Times New Roman" w:hAnsi="Times New Roman" w:cs="Times New Roman"/>
          <w:sz w:val="24"/>
          <w:szCs w:val="24"/>
        </w:rPr>
        <w:t xml:space="preserve">Original </w:t>
      </w:r>
      <w:r w:rsidR="005E2C8E" w:rsidRPr="00D93B48">
        <w:rPr>
          <w:rFonts w:ascii="Times New Roman" w:hAnsi="Times New Roman" w:cs="Times New Roman"/>
          <w:sz w:val="24"/>
          <w:szCs w:val="24"/>
        </w:rPr>
        <w:t xml:space="preserve">Complaint fails to comply with either 66 </w:t>
      </w:r>
      <w:proofErr w:type="spellStart"/>
      <w:r w:rsidR="005E2C8E" w:rsidRPr="00D93B48">
        <w:rPr>
          <w:rFonts w:ascii="Times New Roman" w:hAnsi="Times New Roman" w:cs="Times New Roman"/>
          <w:sz w:val="24"/>
          <w:szCs w:val="24"/>
        </w:rPr>
        <w:t>Pa.C.S</w:t>
      </w:r>
      <w:proofErr w:type="spellEnd"/>
      <w:r w:rsidR="005E2C8E" w:rsidRPr="00D93B48">
        <w:rPr>
          <w:rFonts w:ascii="Times New Roman" w:hAnsi="Times New Roman" w:cs="Times New Roman"/>
          <w:sz w:val="24"/>
          <w:szCs w:val="24"/>
        </w:rPr>
        <w:t xml:space="preserve">. § 701 or 52 </w:t>
      </w:r>
      <w:proofErr w:type="spellStart"/>
      <w:r w:rsidR="005E2C8E" w:rsidRPr="00D93B48">
        <w:rPr>
          <w:rFonts w:ascii="Times New Roman" w:hAnsi="Times New Roman" w:cs="Times New Roman"/>
          <w:sz w:val="24"/>
          <w:szCs w:val="24"/>
        </w:rPr>
        <w:t>Pa.Code</w:t>
      </w:r>
      <w:proofErr w:type="spellEnd"/>
      <w:r w:rsidR="005E2C8E" w:rsidRPr="00D93B48">
        <w:rPr>
          <w:rFonts w:ascii="Times New Roman" w:hAnsi="Times New Roman" w:cs="Times New Roman"/>
          <w:sz w:val="24"/>
          <w:szCs w:val="24"/>
        </w:rPr>
        <w:t xml:space="preserve"> § 5.22(a)(5) and contains no information specific enough to allow PGW </w:t>
      </w:r>
      <w:r w:rsidR="004577A1" w:rsidRPr="00D93B48">
        <w:rPr>
          <w:rFonts w:ascii="Times New Roman" w:hAnsi="Times New Roman" w:cs="Times New Roman"/>
          <w:sz w:val="24"/>
          <w:szCs w:val="24"/>
        </w:rPr>
        <w:t xml:space="preserve">to </w:t>
      </w:r>
      <w:r w:rsidR="005E2C8E" w:rsidRPr="00D93B48">
        <w:rPr>
          <w:rFonts w:ascii="Times New Roman" w:hAnsi="Times New Roman" w:cs="Times New Roman"/>
          <w:sz w:val="24"/>
          <w:szCs w:val="24"/>
        </w:rPr>
        <w:t>mount a defense.</w:t>
      </w:r>
    </w:p>
    <w:p w14:paraId="7FC4A3D7" w14:textId="77777777" w:rsidR="004577A1" w:rsidRPr="00D93B48" w:rsidRDefault="004577A1" w:rsidP="005E2C8E">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z w:val="24"/>
          <w:szCs w:val="24"/>
        </w:rPr>
      </w:pPr>
    </w:p>
    <w:p w14:paraId="212181DA" w14:textId="4F5C1F0C" w:rsidR="00F43C78" w:rsidRPr="00D93B48" w:rsidRDefault="00F43C78" w:rsidP="004577A1">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z w:val="24"/>
          <w:szCs w:val="24"/>
        </w:rPr>
      </w:pPr>
      <w:r w:rsidRPr="00D93B48">
        <w:rPr>
          <w:rFonts w:ascii="Times New Roman" w:eastAsia="Times New Roman" w:hAnsi="Times New Roman" w:cs="Times New Roman"/>
          <w:spacing w:val="-3"/>
          <w:sz w:val="24"/>
          <w:szCs w:val="24"/>
        </w:rPr>
        <w:t xml:space="preserve">By Motion Judge Assignment Notice dated December </w:t>
      </w:r>
      <w:r w:rsidR="004577A1" w:rsidRPr="00D93B48">
        <w:rPr>
          <w:rFonts w:ascii="Times New Roman" w:eastAsia="Times New Roman" w:hAnsi="Times New Roman" w:cs="Times New Roman"/>
          <w:spacing w:val="-3"/>
          <w:sz w:val="24"/>
          <w:szCs w:val="24"/>
        </w:rPr>
        <w:t>29</w:t>
      </w:r>
      <w:r w:rsidRPr="00D93B48">
        <w:rPr>
          <w:rFonts w:ascii="Times New Roman" w:eastAsia="Times New Roman" w:hAnsi="Times New Roman" w:cs="Times New Roman"/>
          <w:spacing w:val="-3"/>
          <w:sz w:val="24"/>
          <w:szCs w:val="24"/>
        </w:rPr>
        <w:t>, 2023, PGW’s Preliminary Objection was assigned to me for disposition.</w:t>
      </w:r>
      <w:r w:rsidRPr="00D93B48">
        <w:rPr>
          <w:rFonts w:ascii="Times New Roman" w:eastAsia="Times New Roman" w:hAnsi="Times New Roman" w:cs="Times New Roman"/>
          <w:sz w:val="24"/>
          <w:szCs w:val="24"/>
        </w:rPr>
        <w:t xml:space="preserve">   </w:t>
      </w:r>
    </w:p>
    <w:p w14:paraId="6A0D7549" w14:textId="77777777" w:rsidR="00B55238" w:rsidRPr="00D93B48" w:rsidRDefault="00B55238" w:rsidP="004577A1">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z w:val="24"/>
          <w:szCs w:val="24"/>
        </w:rPr>
      </w:pPr>
    </w:p>
    <w:p w14:paraId="79912C2E" w14:textId="2774A260" w:rsidR="00B55238" w:rsidRPr="00D93B48" w:rsidRDefault="00B55238" w:rsidP="00B55238">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93B48">
        <w:rPr>
          <w:rFonts w:ascii="Times New Roman" w:eastAsia="Times New Roman" w:hAnsi="Times New Roman" w:cs="Times New Roman"/>
          <w:sz w:val="24"/>
          <w:szCs w:val="24"/>
        </w:rPr>
        <w:t>On January 2, 2024, Mr. Coe filed an Amended Complaint in this matter.</w:t>
      </w:r>
      <w:r w:rsidRPr="00D93B48">
        <w:rPr>
          <w:rFonts w:ascii="Times New Roman" w:eastAsia="Times New Roman" w:hAnsi="Times New Roman" w:cs="Times New Roman"/>
          <w:spacing w:val="-3"/>
          <w:sz w:val="24"/>
          <w:szCs w:val="24"/>
        </w:rPr>
        <w:t xml:space="preserve">  In the Amended Complaint, Mr. Coe alleged</w:t>
      </w:r>
      <w:r w:rsidR="00A83052" w:rsidRPr="00D93B48">
        <w:rPr>
          <w:rFonts w:ascii="Times New Roman" w:eastAsia="Times New Roman" w:hAnsi="Times New Roman" w:cs="Times New Roman"/>
          <w:spacing w:val="-3"/>
          <w:sz w:val="24"/>
          <w:szCs w:val="24"/>
        </w:rPr>
        <w:t>,</w:t>
      </w:r>
      <w:r w:rsidRPr="00D93B48">
        <w:rPr>
          <w:rFonts w:ascii="Times New Roman" w:eastAsia="Times New Roman" w:hAnsi="Times New Roman" w:cs="Times New Roman"/>
          <w:spacing w:val="-3"/>
          <w:sz w:val="24"/>
          <w:szCs w:val="24"/>
        </w:rPr>
        <w:t xml:space="preserve"> again</w:t>
      </w:r>
      <w:r w:rsidR="00A83052" w:rsidRPr="00D93B48">
        <w:rPr>
          <w:rFonts w:ascii="Times New Roman" w:eastAsia="Times New Roman" w:hAnsi="Times New Roman" w:cs="Times New Roman"/>
          <w:spacing w:val="-3"/>
          <w:sz w:val="24"/>
          <w:szCs w:val="24"/>
        </w:rPr>
        <w:t>,</w:t>
      </w:r>
      <w:r w:rsidRPr="00D93B48">
        <w:rPr>
          <w:rFonts w:ascii="Times New Roman" w:eastAsia="Times New Roman" w:hAnsi="Times New Roman" w:cs="Times New Roman"/>
          <w:spacing w:val="-3"/>
          <w:sz w:val="24"/>
          <w:szCs w:val="24"/>
        </w:rPr>
        <w:t xml:space="preserve"> that PGW has shut off his gas service at 879 North Brooklyn Street, Philadelphia, PA 19104.  In addition, Mr. Coe avers as follows,</w:t>
      </w:r>
    </w:p>
    <w:p w14:paraId="59E460E3" w14:textId="77777777" w:rsidR="00B55238" w:rsidRPr="00D93B48" w:rsidRDefault="00B55238" w:rsidP="00B55238">
      <w:pPr>
        <w:tabs>
          <w:tab w:val="left" w:pos="-720"/>
          <w:tab w:val="left" w:pos="0"/>
        </w:tabs>
        <w:suppressAutoHyphens/>
        <w:autoSpaceDE w:val="0"/>
        <w:autoSpaceDN w:val="0"/>
        <w:spacing w:after="0" w:line="360" w:lineRule="auto"/>
        <w:rPr>
          <w:rFonts w:ascii="Times New Roman" w:eastAsia="Times New Roman" w:hAnsi="Times New Roman" w:cs="Times New Roman"/>
          <w:spacing w:val="-3"/>
          <w:sz w:val="24"/>
          <w:szCs w:val="24"/>
        </w:rPr>
      </w:pPr>
    </w:p>
    <w:p w14:paraId="0FDA7459" w14:textId="5158E209" w:rsidR="004577A1" w:rsidRPr="00D93B48" w:rsidRDefault="00B55238" w:rsidP="00B55238">
      <w:pPr>
        <w:tabs>
          <w:tab w:val="left" w:pos="-720"/>
          <w:tab w:val="left" w:pos="1440"/>
        </w:tabs>
        <w:suppressAutoHyphens/>
        <w:autoSpaceDE w:val="0"/>
        <w:autoSpaceDN w:val="0"/>
        <w:spacing w:after="0" w:line="240" w:lineRule="auto"/>
        <w:ind w:left="1350" w:right="1440"/>
        <w:rPr>
          <w:rFonts w:ascii="Times New Roman" w:eastAsia="Times New Roman" w:hAnsi="Times New Roman" w:cs="Times New Roman"/>
          <w:spacing w:val="-3"/>
          <w:sz w:val="24"/>
          <w:szCs w:val="24"/>
        </w:rPr>
      </w:pPr>
      <w:r w:rsidRPr="00D93B48">
        <w:rPr>
          <w:rFonts w:ascii="Times New Roman" w:eastAsia="Times New Roman" w:hAnsi="Times New Roman" w:cs="Times New Roman"/>
          <w:sz w:val="24"/>
          <w:szCs w:val="24"/>
        </w:rPr>
        <w:lastRenderedPageBreak/>
        <w:t xml:space="preserve">The company refuse to redeem the municipal book-entry securities issued to me for the benefit of me as Beneficial Owner of the proceeds from the sale at trans and transfer of the municipal bonds better known as notes in the Primary and Secondary markets.  I've asked multiple times for the proper address of the assigned transfer agent and/or indenture trustee in order to properly send the issued securities for redemption in the instructions on where to send the proceeds due to me from the exchange there is a grave negligence present within this company in terms of disclosure of information relevant to the investor relationship it has with its account </w:t>
      </w:r>
      <w:proofErr w:type="gramStart"/>
      <w:r w:rsidRPr="00D93B48">
        <w:rPr>
          <w:rFonts w:ascii="Times New Roman" w:eastAsia="Times New Roman" w:hAnsi="Times New Roman" w:cs="Times New Roman"/>
          <w:sz w:val="24"/>
          <w:szCs w:val="24"/>
        </w:rPr>
        <w:t>holders</w:t>
      </w:r>
      <w:proofErr w:type="gramEnd"/>
      <w:r w:rsidRPr="00D93B48">
        <w:rPr>
          <w:rFonts w:ascii="Times New Roman" w:eastAsia="Times New Roman" w:hAnsi="Times New Roman" w:cs="Times New Roman"/>
          <w:sz w:val="24"/>
          <w:szCs w:val="24"/>
        </w:rPr>
        <w:t xml:space="preserve"> agents as well as the assignment and transfer of principal balances.</w:t>
      </w:r>
    </w:p>
    <w:p w14:paraId="16EC0D48" w14:textId="77777777" w:rsidR="00B55238" w:rsidRPr="00D93B48" w:rsidRDefault="00B55238" w:rsidP="00B55238">
      <w:pPr>
        <w:tabs>
          <w:tab w:val="left" w:pos="-720"/>
        </w:tabs>
        <w:suppressAutoHyphens/>
        <w:autoSpaceDE w:val="0"/>
        <w:autoSpaceDN w:val="0"/>
        <w:spacing w:after="0" w:line="360" w:lineRule="auto"/>
        <w:ind w:left="1350" w:right="1440"/>
        <w:rPr>
          <w:rFonts w:ascii="Times New Roman" w:eastAsia="Times New Roman" w:hAnsi="Times New Roman" w:cs="Times New Roman"/>
          <w:spacing w:val="-3"/>
          <w:sz w:val="24"/>
          <w:szCs w:val="24"/>
        </w:rPr>
      </w:pPr>
    </w:p>
    <w:p w14:paraId="2964B02C" w14:textId="406F74AD" w:rsidR="004577A1" w:rsidRPr="00D93B48" w:rsidRDefault="00B55238" w:rsidP="00B5523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 xml:space="preserve">Amended </w:t>
      </w:r>
      <w:r w:rsidR="004577A1" w:rsidRPr="00D93B48">
        <w:rPr>
          <w:rFonts w:ascii="Times New Roman" w:eastAsia="Times New Roman" w:hAnsi="Times New Roman" w:cs="Times New Roman"/>
          <w:spacing w:val="-3"/>
          <w:sz w:val="24"/>
          <w:szCs w:val="24"/>
        </w:rPr>
        <w:t>Complaint ¶ 4.  As relief, the Complainant request</w:t>
      </w:r>
      <w:r w:rsidR="00E338B0" w:rsidRPr="00D93B48">
        <w:rPr>
          <w:rFonts w:ascii="Times New Roman" w:eastAsia="Times New Roman" w:hAnsi="Times New Roman" w:cs="Times New Roman"/>
          <w:spacing w:val="-3"/>
          <w:sz w:val="24"/>
          <w:szCs w:val="24"/>
        </w:rPr>
        <w:t>s</w:t>
      </w:r>
      <w:r w:rsidR="004577A1" w:rsidRPr="00D93B48">
        <w:rPr>
          <w:rFonts w:ascii="Times New Roman" w:eastAsia="Times New Roman" w:hAnsi="Times New Roman" w:cs="Times New Roman"/>
          <w:spacing w:val="-3"/>
          <w:sz w:val="24"/>
          <w:szCs w:val="24"/>
        </w:rPr>
        <w:t xml:space="preserve"> as follows,</w:t>
      </w:r>
    </w:p>
    <w:p w14:paraId="6A9E660B" w14:textId="77777777" w:rsidR="00E338B0" w:rsidRPr="00D93B48" w:rsidRDefault="00E338B0" w:rsidP="00E338B0">
      <w:pPr>
        <w:tabs>
          <w:tab w:val="left" w:pos="-720"/>
          <w:tab w:val="left" w:pos="0"/>
        </w:tabs>
        <w:suppressAutoHyphens/>
        <w:autoSpaceDE w:val="0"/>
        <w:autoSpaceDN w:val="0"/>
        <w:spacing w:after="0" w:line="360" w:lineRule="auto"/>
        <w:rPr>
          <w:rFonts w:ascii="Times New Roman" w:eastAsia="Times New Roman" w:hAnsi="Times New Roman" w:cs="Times New Roman"/>
          <w:sz w:val="24"/>
          <w:szCs w:val="24"/>
        </w:rPr>
      </w:pPr>
    </w:p>
    <w:p w14:paraId="18D23C58" w14:textId="29CA9612" w:rsidR="004577A1" w:rsidRPr="00D93B48" w:rsidRDefault="00E338B0" w:rsidP="00E338B0">
      <w:pPr>
        <w:tabs>
          <w:tab w:val="left" w:pos="-720"/>
          <w:tab w:val="left" w:pos="1440"/>
        </w:tabs>
        <w:suppressAutoHyphens/>
        <w:autoSpaceDE w:val="0"/>
        <w:autoSpaceDN w:val="0"/>
        <w:spacing w:after="0" w:line="240" w:lineRule="auto"/>
        <w:ind w:left="1440" w:right="1440"/>
        <w:rPr>
          <w:rFonts w:ascii="Times New Roman" w:eastAsia="Times New Roman" w:hAnsi="Times New Roman" w:cs="Times New Roman"/>
          <w:sz w:val="24"/>
          <w:szCs w:val="24"/>
        </w:rPr>
      </w:pPr>
      <w:r w:rsidRPr="00D93B48">
        <w:rPr>
          <w:rFonts w:ascii="Times New Roman" w:eastAsia="Times New Roman" w:hAnsi="Times New Roman" w:cs="Times New Roman"/>
          <w:sz w:val="24"/>
          <w:szCs w:val="24"/>
        </w:rPr>
        <w:t xml:space="preserve">I would like the PCU </w:t>
      </w:r>
      <w:r w:rsidR="007174FA" w:rsidRPr="00D93B48">
        <w:rPr>
          <w:rFonts w:ascii="Times New Roman" w:eastAsia="Times New Roman" w:hAnsi="Times New Roman" w:cs="Times New Roman"/>
          <w:sz w:val="24"/>
          <w:szCs w:val="24"/>
        </w:rPr>
        <w:t>(sic)</w:t>
      </w:r>
      <w:r w:rsidR="003B24F3" w:rsidRPr="00D93B48">
        <w:rPr>
          <w:rFonts w:ascii="Times New Roman" w:eastAsia="Times New Roman" w:hAnsi="Times New Roman" w:cs="Times New Roman"/>
          <w:sz w:val="24"/>
          <w:szCs w:val="24"/>
        </w:rPr>
        <w:t xml:space="preserve"> </w:t>
      </w:r>
      <w:r w:rsidRPr="00D93B48">
        <w:rPr>
          <w:rFonts w:ascii="Times New Roman" w:eastAsia="Times New Roman" w:hAnsi="Times New Roman" w:cs="Times New Roman"/>
          <w:sz w:val="24"/>
          <w:szCs w:val="24"/>
        </w:rPr>
        <w:t>to order PGW to release all proceeds due to me as a beneficial owner.  The amounts of the proceeds can be found on the monthly statements of account held under the account number issued with this complaint in addition to any securities violations or acts of securities fraud that may be found in an investigation post the decision made on the already established balance due from the coupons of the statements of account.  (Investigation may also be conducted by the MSRB-Municipal Securities Rulemaking Board.)  Account information for transfer to me will be provided to both companies once the proceeds are received from the exchange and sale of the securities as Treasury Bills in the primary market an active Treasury Direct Account is available for the transfer of the marketable securities.</w:t>
      </w:r>
    </w:p>
    <w:p w14:paraId="7772E965" w14:textId="77777777" w:rsidR="00E338B0" w:rsidRPr="00D93B48" w:rsidRDefault="00E338B0" w:rsidP="00802799">
      <w:pPr>
        <w:tabs>
          <w:tab w:val="left" w:pos="-720"/>
          <w:tab w:val="left" w:pos="1440"/>
        </w:tabs>
        <w:suppressAutoHyphens/>
        <w:autoSpaceDE w:val="0"/>
        <w:autoSpaceDN w:val="0"/>
        <w:spacing w:after="0" w:line="360" w:lineRule="auto"/>
        <w:ind w:left="1440" w:right="1440"/>
        <w:rPr>
          <w:rFonts w:ascii="Times New Roman" w:eastAsia="Times New Roman" w:hAnsi="Times New Roman" w:cs="Times New Roman"/>
          <w:sz w:val="24"/>
          <w:szCs w:val="24"/>
        </w:rPr>
      </w:pPr>
    </w:p>
    <w:p w14:paraId="241C9F7B" w14:textId="667AFFF2" w:rsidR="00E338B0" w:rsidRPr="00D93B48" w:rsidRDefault="00E338B0" w:rsidP="00F43C78">
      <w:pPr>
        <w:tabs>
          <w:tab w:val="left" w:pos="-720"/>
          <w:tab w:val="left" w:pos="0"/>
        </w:tabs>
        <w:suppressAutoHyphens/>
        <w:autoSpaceDE w:val="0"/>
        <w:autoSpaceDN w:val="0"/>
        <w:spacing w:after="0" w:line="360" w:lineRule="auto"/>
        <w:rPr>
          <w:rFonts w:ascii="Times New Roman" w:eastAsia="Times New Roman" w:hAnsi="Times New Roman" w:cs="Times New Roman"/>
          <w:sz w:val="24"/>
          <w:szCs w:val="24"/>
        </w:rPr>
      </w:pPr>
      <w:r w:rsidRPr="00D93B48">
        <w:rPr>
          <w:rFonts w:ascii="Times New Roman" w:eastAsia="Times New Roman" w:hAnsi="Times New Roman" w:cs="Times New Roman"/>
          <w:spacing w:val="-3"/>
          <w:sz w:val="24"/>
          <w:szCs w:val="24"/>
        </w:rPr>
        <w:t>Amended Complaint ¶ 5.</w:t>
      </w:r>
      <w:r w:rsidR="00F43C78" w:rsidRPr="00D93B48">
        <w:rPr>
          <w:rFonts w:ascii="Times New Roman" w:eastAsia="Times New Roman" w:hAnsi="Times New Roman" w:cs="Times New Roman"/>
          <w:sz w:val="24"/>
          <w:szCs w:val="24"/>
        </w:rPr>
        <w:tab/>
      </w:r>
      <w:r w:rsidR="00F43C78" w:rsidRPr="00D93B48">
        <w:rPr>
          <w:rFonts w:ascii="Times New Roman" w:eastAsia="Times New Roman" w:hAnsi="Times New Roman" w:cs="Times New Roman"/>
          <w:sz w:val="24"/>
          <w:szCs w:val="24"/>
        </w:rPr>
        <w:tab/>
      </w:r>
    </w:p>
    <w:p w14:paraId="4C413C7E" w14:textId="77777777" w:rsidR="00E338B0" w:rsidRPr="00D93B48" w:rsidRDefault="00E338B0" w:rsidP="00F43C78">
      <w:pPr>
        <w:tabs>
          <w:tab w:val="left" w:pos="-720"/>
          <w:tab w:val="left" w:pos="0"/>
        </w:tabs>
        <w:suppressAutoHyphens/>
        <w:autoSpaceDE w:val="0"/>
        <w:autoSpaceDN w:val="0"/>
        <w:spacing w:after="0" w:line="360" w:lineRule="auto"/>
        <w:rPr>
          <w:rFonts w:ascii="Times New Roman" w:eastAsia="Times New Roman" w:hAnsi="Times New Roman" w:cs="Times New Roman"/>
          <w:sz w:val="24"/>
          <w:szCs w:val="24"/>
        </w:rPr>
      </w:pPr>
    </w:p>
    <w:p w14:paraId="2A712CA0" w14:textId="6DBC81AC" w:rsidR="00BD0126" w:rsidRPr="00D93B48" w:rsidRDefault="00BD0126" w:rsidP="007D18EE">
      <w:pPr>
        <w:tabs>
          <w:tab w:val="left" w:pos="-720"/>
          <w:tab w:val="left" w:pos="0"/>
        </w:tabs>
        <w:suppressAutoHyphens/>
        <w:autoSpaceDE w:val="0"/>
        <w:autoSpaceDN w:val="0"/>
        <w:spacing w:after="0" w:line="360" w:lineRule="auto"/>
        <w:ind w:firstLine="1530"/>
        <w:rPr>
          <w:rFonts w:ascii="Times New Roman" w:hAnsi="Times New Roman" w:cs="Times New Roman"/>
          <w:sz w:val="24"/>
          <w:szCs w:val="24"/>
        </w:rPr>
      </w:pPr>
      <w:r w:rsidRPr="00D93B48">
        <w:rPr>
          <w:rFonts w:ascii="Times New Roman" w:eastAsia="Times New Roman" w:hAnsi="Times New Roman" w:cs="Times New Roman"/>
          <w:spacing w:val="-3"/>
          <w:sz w:val="24"/>
          <w:szCs w:val="24"/>
        </w:rPr>
        <w:t>On</w:t>
      </w:r>
      <w:r w:rsidR="005532D4" w:rsidRPr="00D93B48">
        <w:rPr>
          <w:rFonts w:ascii="Times New Roman" w:eastAsia="Times New Roman" w:hAnsi="Times New Roman" w:cs="Times New Roman"/>
          <w:spacing w:val="-3"/>
          <w:sz w:val="24"/>
          <w:szCs w:val="24"/>
        </w:rPr>
        <w:t xml:space="preserve"> January 22, 2024</w:t>
      </w:r>
      <w:r w:rsidRPr="00D93B48">
        <w:rPr>
          <w:rFonts w:ascii="Times New Roman" w:eastAsia="Times New Roman" w:hAnsi="Times New Roman" w:cs="Times New Roman"/>
          <w:spacing w:val="-3"/>
          <w:sz w:val="24"/>
          <w:szCs w:val="24"/>
        </w:rPr>
        <w:t>, the Respondent filed an Answer to the Amended Formal Complaint, along with New Matter, and a Notice to Plead.  In its Answer</w:t>
      </w:r>
      <w:r w:rsidR="007967E0" w:rsidRPr="00D93B48">
        <w:rPr>
          <w:rFonts w:ascii="Times New Roman" w:eastAsia="Times New Roman" w:hAnsi="Times New Roman" w:cs="Times New Roman"/>
          <w:spacing w:val="-3"/>
          <w:sz w:val="24"/>
          <w:szCs w:val="24"/>
        </w:rPr>
        <w:t xml:space="preserve"> to the Amended Complaint</w:t>
      </w:r>
      <w:r w:rsidRPr="00D93B48">
        <w:rPr>
          <w:rFonts w:ascii="Times New Roman" w:eastAsia="Times New Roman" w:hAnsi="Times New Roman" w:cs="Times New Roman"/>
          <w:spacing w:val="-3"/>
          <w:sz w:val="24"/>
          <w:szCs w:val="24"/>
        </w:rPr>
        <w:t>, PGW denie</w:t>
      </w:r>
      <w:r w:rsidR="00A87184" w:rsidRPr="00D93B48">
        <w:rPr>
          <w:rFonts w:ascii="Times New Roman" w:eastAsia="Times New Roman" w:hAnsi="Times New Roman" w:cs="Times New Roman"/>
          <w:spacing w:val="-3"/>
          <w:sz w:val="24"/>
          <w:szCs w:val="24"/>
        </w:rPr>
        <w:t>s</w:t>
      </w:r>
      <w:r w:rsidRPr="00D93B48">
        <w:rPr>
          <w:rFonts w:ascii="Times New Roman" w:eastAsia="Times New Roman" w:hAnsi="Times New Roman" w:cs="Times New Roman"/>
          <w:spacing w:val="-3"/>
          <w:sz w:val="24"/>
          <w:szCs w:val="24"/>
        </w:rPr>
        <w:t xml:space="preserve"> the material allegations of the </w:t>
      </w:r>
      <w:r w:rsidR="007967E0" w:rsidRPr="00D93B48">
        <w:rPr>
          <w:rFonts w:ascii="Times New Roman" w:eastAsia="Times New Roman" w:hAnsi="Times New Roman" w:cs="Times New Roman"/>
          <w:spacing w:val="-3"/>
          <w:sz w:val="24"/>
          <w:szCs w:val="24"/>
        </w:rPr>
        <w:t xml:space="preserve">Amended </w:t>
      </w:r>
      <w:r w:rsidRPr="00D93B48">
        <w:rPr>
          <w:rFonts w:ascii="Times New Roman" w:eastAsia="Times New Roman" w:hAnsi="Times New Roman" w:cs="Times New Roman"/>
          <w:spacing w:val="-3"/>
          <w:sz w:val="24"/>
          <w:szCs w:val="24"/>
        </w:rPr>
        <w:t>Complaint;</w:t>
      </w:r>
      <w:r w:rsidR="00A87184" w:rsidRPr="00D93B48">
        <w:rPr>
          <w:rFonts w:ascii="Times New Roman" w:eastAsia="Times New Roman" w:hAnsi="Times New Roman" w:cs="Times New Roman"/>
          <w:spacing w:val="-3"/>
          <w:sz w:val="24"/>
          <w:szCs w:val="24"/>
        </w:rPr>
        <w:t xml:space="preserve"> and</w:t>
      </w:r>
      <w:r w:rsidRPr="00D93B48">
        <w:rPr>
          <w:rFonts w:ascii="Times New Roman" w:eastAsia="Times New Roman" w:hAnsi="Times New Roman" w:cs="Times New Roman"/>
          <w:spacing w:val="-3"/>
          <w:sz w:val="24"/>
          <w:szCs w:val="24"/>
        </w:rPr>
        <w:t xml:space="preserve">, in its New Matter, Respondent </w:t>
      </w:r>
      <w:r w:rsidR="004E4B14" w:rsidRPr="00D93B48">
        <w:rPr>
          <w:rFonts w:ascii="Times New Roman" w:eastAsia="Times New Roman" w:hAnsi="Times New Roman" w:cs="Times New Roman"/>
          <w:spacing w:val="-3"/>
          <w:sz w:val="24"/>
          <w:szCs w:val="24"/>
        </w:rPr>
        <w:t xml:space="preserve">avers that </w:t>
      </w:r>
      <w:r w:rsidR="00D7079F" w:rsidRPr="00D93B48">
        <w:rPr>
          <w:rFonts w:ascii="Times New Roman" w:eastAsia="Times New Roman" w:hAnsi="Times New Roman" w:cs="Times New Roman"/>
          <w:spacing w:val="-3"/>
          <w:sz w:val="24"/>
          <w:szCs w:val="24"/>
        </w:rPr>
        <w:t xml:space="preserve">the Amended Complaint reflects a continuation in </w:t>
      </w:r>
      <w:r w:rsidR="009462CD" w:rsidRPr="00D93B48">
        <w:rPr>
          <w:rFonts w:ascii="Times New Roman" w:hAnsi="Times New Roman" w:cs="Times New Roman"/>
          <w:sz w:val="24"/>
          <w:szCs w:val="24"/>
        </w:rPr>
        <w:t>the Complainant</w:t>
      </w:r>
      <w:r w:rsidR="00D7079F" w:rsidRPr="00D93B48">
        <w:rPr>
          <w:rFonts w:ascii="Times New Roman" w:hAnsi="Times New Roman" w:cs="Times New Roman"/>
          <w:sz w:val="24"/>
          <w:szCs w:val="24"/>
        </w:rPr>
        <w:t>’s</w:t>
      </w:r>
      <w:r w:rsidR="009462CD" w:rsidRPr="00D93B48">
        <w:rPr>
          <w:rFonts w:ascii="Times New Roman" w:hAnsi="Times New Roman" w:cs="Times New Roman"/>
          <w:sz w:val="24"/>
          <w:szCs w:val="24"/>
        </w:rPr>
        <w:t xml:space="preserve"> pattern of making allegations that have no bearing on utility related matters or issues over which the Commission has jurisdiction. </w:t>
      </w:r>
      <w:r w:rsidR="0067292F" w:rsidRPr="00D93B48">
        <w:rPr>
          <w:rFonts w:ascii="Times New Roman" w:hAnsi="Times New Roman" w:cs="Times New Roman"/>
          <w:sz w:val="24"/>
          <w:szCs w:val="24"/>
        </w:rPr>
        <w:t xml:space="preserve"> New Matter ¶ </w:t>
      </w:r>
      <w:r w:rsidR="009462CD" w:rsidRPr="00D93B48">
        <w:rPr>
          <w:rFonts w:ascii="Times New Roman" w:hAnsi="Times New Roman" w:cs="Times New Roman"/>
          <w:sz w:val="24"/>
          <w:szCs w:val="24"/>
        </w:rPr>
        <w:t>22.</w:t>
      </w:r>
      <w:r w:rsidR="0067292F" w:rsidRPr="00D93B48">
        <w:rPr>
          <w:rFonts w:ascii="Times New Roman" w:hAnsi="Times New Roman" w:cs="Times New Roman"/>
          <w:sz w:val="24"/>
          <w:szCs w:val="24"/>
        </w:rPr>
        <w:t xml:space="preserve"> </w:t>
      </w:r>
      <w:r w:rsidR="009462CD" w:rsidRPr="00D93B48">
        <w:rPr>
          <w:rFonts w:ascii="Times New Roman" w:hAnsi="Times New Roman" w:cs="Times New Roman"/>
          <w:sz w:val="24"/>
          <w:szCs w:val="24"/>
        </w:rPr>
        <w:t xml:space="preserve"> </w:t>
      </w:r>
      <w:r w:rsidR="0067292F" w:rsidRPr="00D93B48">
        <w:rPr>
          <w:rFonts w:ascii="Times New Roman" w:hAnsi="Times New Roman" w:cs="Times New Roman"/>
          <w:sz w:val="24"/>
          <w:szCs w:val="24"/>
        </w:rPr>
        <w:t xml:space="preserve">PGW </w:t>
      </w:r>
      <w:r w:rsidR="00F60D44" w:rsidRPr="00D93B48">
        <w:rPr>
          <w:rFonts w:ascii="Times New Roman" w:hAnsi="Times New Roman" w:cs="Times New Roman"/>
          <w:sz w:val="24"/>
          <w:szCs w:val="24"/>
        </w:rPr>
        <w:t>further explains that t</w:t>
      </w:r>
      <w:r w:rsidR="009462CD" w:rsidRPr="00D93B48">
        <w:rPr>
          <w:rFonts w:ascii="Times New Roman" w:hAnsi="Times New Roman" w:cs="Times New Roman"/>
          <w:sz w:val="24"/>
          <w:szCs w:val="24"/>
        </w:rPr>
        <w:t>he Commission does not have jurisdiction over securities</w:t>
      </w:r>
      <w:r w:rsidR="00F60D44" w:rsidRPr="00D93B48">
        <w:rPr>
          <w:rFonts w:ascii="Times New Roman" w:hAnsi="Times New Roman" w:cs="Times New Roman"/>
          <w:sz w:val="24"/>
          <w:szCs w:val="24"/>
        </w:rPr>
        <w:t xml:space="preserve"> and maintains that t</w:t>
      </w:r>
      <w:r w:rsidR="009462CD" w:rsidRPr="00D93B48">
        <w:rPr>
          <w:rFonts w:ascii="Times New Roman" w:hAnsi="Times New Roman" w:cs="Times New Roman"/>
          <w:sz w:val="24"/>
          <w:szCs w:val="24"/>
        </w:rPr>
        <w:t xml:space="preserve">he Complainant fails to set forth “the act or thing done or omitted to be done” by a public utility “in violation, or claimed violation, of any law which the commission has jurisdiction to administer, or of any regulation or </w:t>
      </w:r>
      <w:r w:rsidR="009462CD" w:rsidRPr="00D93B48">
        <w:rPr>
          <w:rFonts w:ascii="Times New Roman" w:hAnsi="Times New Roman" w:cs="Times New Roman"/>
          <w:sz w:val="24"/>
          <w:szCs w:val="24"/>
        </w:rPr>
        <w:lastRenderedPageBreak/>
        <w:t xml:space="preserve">order of the commission.” </w:t>
      </w:r>
      <w:bookmarkStart w:id="0" w:name="_Hlk158214790"/>
      <w:r w:rsidR="007D18EE" w:rsidRPr="00D93B48">
        <w:rPr>
          <w:rFonts w:ascii="Times New Roman" w:hAnsi="Times New Roman" w:cs="Times New Roman"/>
          <w:sz w:val="24"/>
          <w:szCs w:val="24"/>
        </w:rPr>
        <w:t xml:space="preserve"> New Matter ¶ 24</w:t>
      </w:r>
      <w:bookmarkEnd w:id="0"/>
      <w:r w:rsidR="007D18EE" w:rsidRPr="00D93B48">
        <w:rPr>
          <w:rFonts w:ascii="Times New Roman" w:hAnsi="Times New Roman" w:cs="Times New Roman"/>
          <w:sz w:val="24"/>
          <w:szCs w:val="24"/>
        </w:rPr>
        <w:t xml:space="preserve">, citing </w:t>
      </w:r>
      <w:r w:rsidR="009462CD" w:rsidRPr="00D93B48">
        <w:rPr>
          <w:rFonts w:ascii="Times New Roman" w:hAnsi="Times New Roman" w:cs="Times New Roman"/>
          <w:sz w:val="24"/>
          <w:szCs w:val="24"/>
        </w:rPr>
        <w:t xml:space="preserve">66 </w:t>
      </w:r>
      <w:proofErr w:type="spellStart"/>
      <w:r w:rsidR="009462CD" w:rsidRPr="00D93B48">
        <w:rPr>
          <w:rFonts w:ascii="Times New Roman" w:hAnsi="Times New Roman" w:cs="Times New Roman"/>
          <w:sz w:val="24"/>
          <w:szCs w:val="24"/>
        </w:rPr>
        <w:t>Pa.C.S</w:t>
      </w:r>
      <w:proofErr w:type="spellEnd"/>
      <w:r w:rsidR="009462CD" w:rsidRPr="00D93B48">
        <w:rPr>
          <w:rFonts w:ascii="Times New Roman" w:hAnsi="Times New Roman" w:cs="Times New Roman"/>
          <w:sz w:val="24"/>
          <w:szCs w:val="24"/>
        </w:rPr>
        <w:t>. § 701.</w:t>
      </w:r>
      <w:r w:rsidR="007D18EE" w:rsidRPr="00D93B48">
        <w:rPr>
          <w:rFonts w:ascii="Times New Roman" w:hAnsi="Times New Roman" w:cs="Times New Roman"/>
          <w:sz w:val="24"/>
          <w:szCs w:val="24"/>
        </w:rPr>
        <w:t xml:space="preserve"> </w:t>
      </w:r>
      <w:r w:rsidR="009462CD" w:rsidRPr="00D93B48">
        <w:rPr>
          <w:rFonts w:ascii="Times New Roman" w:hAnsi="Times New Roman" w:cs="Times New Roman"/>
          <w:sz w:val="24"/>
          <w:szCs w:val="24"/>
        </w:rPr>
        <w:t xml:space="preserve"> </w:t>
      </w:r>
      <w:r w:rsidR="007D18EE" w:rsidRPr="00D93B48">
        <w:rPr>
          <w:rFonts w:ascii="Times New Roman" w:hAnsi="Times New Roman" w:cs="Times New Roman"/>
          <w:sz w:val="24"/>
          <w:szCs w:val="24"/>
        </w:rPr>
        <w:t>In addition, PGW argues that the</w:t>
      </w:r>
      <w:r w:rsidR="009462CD" w:rsidRPr="00D93B48">
        <w:rPr>
          <w:rFonts w:ascii="Times New Roman" w:hAnsi="Times New Roman" w:cs="Times New Roman"/>
          <w:sz w:val="24"/>
          <w:szCs w:val="24"/>
        </w:rPr>
        <w:t xml:space="preserve"> Complaint fails to set forth “[a] clear and concise statement of the act or omission being complained of including the result of any informal complaint or informal investigation.” </w:t>
      </w:r>
      <w:r w:rsidR="007D18EE" w:rsidRPr="00D93B48">
        <w:rPr>
          <w:rFonts w:ascii="Times New Roman" w:hAnsi="Times New Roman" w:cs="Times New Roman"/>
          <w:sz w:val="24"/>
          <w:szCs w:val="24"/>
        </w:rPr>
        <w:t xml:space="preserve"> New Matter ¶ 25, citing </w:t>
      </w:r>
      <w:r w:rsidR="009462CD" w:rsidRPr="00D93B48">
        <w:rPr>
          <w:rFonts w:ascii="Times New Roman" w:hAnsi="Times New Roman" w:cs="Times New Roman"/>
          <w:sz w:val="24"/>
          <w:szCs w:val="24"/>
        </w:rPr>
        <w:t>52 Pa. Code § 5.22(a)(5)</w:t>
      </w:r>
      <w:r w:rsidR="007D18EE" w:rsidRPr="00D93B48">
        <w:rPr>
          <w:rFonts w:ascii="Times New Roman" w:hAnsi="Times New Roman" w:cs="Times New Roman"/>
          <w:sz w:val="24"/>
          <w:szCs w:val="24"/>
        </w:rPr>
        <w:t>.</w:t>
      </w:r>
    </w:p>
    <w:p w14:paraId="42BCBED8" w14:textId="77777777" w:rsidR="00BE7318" w:rsidRPr="00D93B48" w:rsidRDefault="00BE7318" w:rsidP="007D18EE">
      <w:pPr>
        <w:tabs>
          <w:tab w:val="left" w:pos="-720"/>
          <w:tab w:val="left" w:pos="0"/>
        </w:tabs>
        <w:suppressAutoHyphens/>
        <w:autoSpaceDE w:val="0"/>
        <w:autoSpaceDN w:val="0"/>
        <w:spacing w:after="0" w:line="360" w:lineRule="auto"/>
        <w:ind w:firstLine="1530"/>
        <w:rPr>
          <w:rFonts w:ascii="Times New Roman" w:hAnsi="Times New Roman" w:cs="Times New Roman"/>
          <w:sz w:val="24"/>
          <w:szCs w:val="24"/>
        </w:rPr>
      </w:pPr>
    </w:p>
    <w:p w14:paraId="51DAA45D" w14:textId="3F9E1AE7" w:rsidR="00BE7318" w:rsidRPr="00D93B48" w:rsidRDefault="00BE7318" w:rsidP="00BE7318">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z w:val="24"/>
          <w:szCs w:val="24"/>
        </w:rPr>
      </w:pPr>
      <w:r w:rsidRPr="00D93B48">
        <w:rPr>
          <w:rFonts w:ascii="Times New Roman" w:eastAsia="Times New Roman" w:hAnsi="Times New Roman" w:cs="Times New Roman"/>
          <w:spacing w:val="-3"/>
          <w:sz w:val="24"/>
          <w:szCs w:val="24"/>
        </w:rPr>
        <w:t xml:space="preserve">Also on </w:t>
      </w:r>
      <w:r w:rsidR="00B87618" w:rsidRPr="00D93B48">
        <w:rPr>
          <w:rFonts w:ascii="Times New Roman" w:eastAsia="Times New Roman" w:hAnsi="Times New Roman" w:cs="Times New Roman"/>
          <w:spacing w:val="-3"/>
          <w:sz w:val="24"/>
          <w:szCs w:val="24"/>
        </w:rPr>
        <w:t>January 22, 2024</w:t>
      </w:r>
      <w:r w:rsidRPr="00D93B48">
        <w:rPr>
          <w:rFonts w:ascii="Times New Roman" w:eastAsia="Times New Roman" w:hAnsi="Times New Roman" w:cs="Times New Roman"/>
          <w:spacing w:val="-3"/>
          <w:sz w:val="24"/>
          <w:szCs w:val="24"/>
        </w:rPr>
        <w:t xml:space="preserve">, the Respondent filed a Preliminary Objection to the </w:t>
      </w:r>
      <w:r w:rsidR="00B87618" w:rsidRPr="00D93B48">
        <w:rPr>
          <w:rFonts w:ascii="Times New Roman" w:eastAsia="Times New Roman" w:hAnsi="Times New Roman" w:cs="Times New Roman"/>
          <w:spacing w:val="-3"/>
          <w:sz w:val="24"/>
          <w:szCs w:val="24"/>
        </w:rPr>
        <w:t xml:space="preserve">Amended </w:t>
      </w:r>
      <w:r w:rsidRPr="00D93B48">
        <w:rPr>
          <w:rFonts w:ascii="Times New Roman" w:eastAsia="Times New Roman" w:hAnsi="Times New Roman" w:cs="Times New Roman"/>
          <w:spacing w:val="-3"/>
          <w:sz w:val="24"/>
          <w:szCs w:val="24"/>
        </w:rPr>
        <w:t>Complaint.  The Respondent s</w:t>
      </w:r>
      <w:r w:rsidR="00B87618" w:rsidRPr="00D93B48">
        <w:rPr>
          <w:rFonts w:ascii="Times New Roman" w:eastAsia="Times New Roman" w:hAnsi="Times New Roman" w:cs="Times New Roman"/>
          <w:spacing w:val="-3"/>
          <w:sz w:val="24"/>
          <w:szCs w:val="24"/>
        </w:rPr>
        <w:t>eeks the</w:t>
      </w:r>
      <w:r w:rsidRPr="00D93B48">
        <w:rPr>
          <w:rFonts w:ascii="Times New Roman" w:eastAsia="Times New Roman" w:hAnsi="Times New Roman" w:cs="Times New Roman"/>
          <w:spacing w:val="-3"/>
          <w:sz w:val="24"/>
          <w:szCs w:val="24"/>
        </w:rPr>
        <w:t xml:space="preserve"> dismissal of the </w:t>
      </w:r>
      <w:r w:rsidR="00B87618" w:rsidRPr="00D93B48">
        <w:rPr>
          <w:rFonts w:ascii="Times New Roman" w:eastAsia="Times New Roman" w:hAnsi="Times New Roman" w:cs="Times New Roman"/>
          <w:spacing w:val="-3"/>
          <w:sz w:val="24"/>
          <w:szCs w:val="24"/>
        </w:rPr>
        <w:t xml:space="preserve">Amended </w:t>
      </w:r>
      <w:r w:rsidRPr="00D93B48">
        <w:rPr>
          <w:rFonts w:ascii="Times New Roman" w:eastAsia="Times New Roman" w:hAnsi="Times New Roman" w:cs="Times New Roman"/>
          <w:spacing w:val="-3"/>
          <w:sz w:val="24"/>
          <w:szCs w:val="24"/>
        </w:rPr>
        <w:t xml:space="preserve">Formal Complaint </w:t>
      </w:r>
      <w:r w:rsidR="000D0A21" w:rsidRPr="00D93B48">
        <w:rPr>
          <w:rFonts w:ascii="Times New Roman" w:eastAsia="Times New Roman" w:hAnsi="Times New Roman" w:cs="Times New Roman"/>
          <w:spacing w:val="-3"/>
          <w:sz w:val="24"/>
          <w:szCs w:val="24"/>
        </w:rPr>
        <w:t>on the following grounds</w:t>
      </w:r>
      <w:r w:rsidRPr="00D93B48">
        <w:rPr>
          <w:rFonts w:ascii="Times New Roman" w:eastAsia="Times New Roman" w:hAnsi="Times New Roman" w:cs="Times New Roman"/>
          <w:spacing w:val="-3"/>
          <w:sz w:val="24"/>
          <w:szCs w:val="24"/>
        </w:rPr>
        <w:t>: 1) th</w:t>
      </w:r>
      <w:r w:rsidRPr="00D93B48">
        <w:rPr>
          <w:rFonts w:ascii="Times New Roman" w:eastAsia="Times New Roman" w:hAnsi="Times New Roman" w:cs="Times New Roman"/>
          <w:sz w:val="24"/>
          <w:szCs w:val="24"/>
        </w:rPr>
        <w:t>e Commission lacks jurisdiction over claims based on alleged violations of</w:t>
      </w:r>
      <w:r w:rsidR="00192E95" w:rsidRPr="00D93B48">
        <w:rPr>
          <w:rFonts w:ascii="Times New Roman" w:eastAsia="Times New Roman" w:hAnsi="Times New Roman" w:cs="Times New Roman"/>
          <w:sz w:val="24"/>
          <w:szCs w:val="24"/>
        </w:rPr>
        <w:t xml:space="preserve"> Securities and Exchange </w:t>
      </w:r>
      <w:r w:rsidR="00F410A9" w:rsidRPr="00D93B48">
        <w:rPr>
          <w:rFonts w:ascii="Times New Roman" w:eastAsia="Times New Roman" w:hAnsi="Times New Roman" w:cs="Times New Roman"/>
          <w:sz w:val="24"/>
          <w:szCs w:val="24"/>
        </w:rPr>
        <w:t>laws</w:t>
      </w:r>
      <w:r w:rsidRPr="00D93B48">
        <w:rPr>
          <w:rFonts w:ascii="Times New Roman" w:eastAsia="Times New Roman" w:hAnsi="Times New Roman" w:cs="Times New Roman"/>
          <w:sz w:val="24"/>
          <w:szCs w:val="24"/>
        </w:rPr>
        <w:t xml:space="preserve">; </w:t>
      </w:r>
      <w:r w:rsidR="009E65B4" w:rsidRPr="00D93B48">
        <w:rPr>
          <w:rFonts w:ascii="Times New Roman" w:eastAsia="Times New Roman" w:hAnsi="Times New Roman" w:cs="Times New Roman"/>
          <w:sz w:val="24"/>
          <w:szCs w:val="24"/>
        </w:rPr>
        <w:t xml:space="preserve">2) </w:t>
      </w:r>
      <w:r w:rsidR="00EF3A7C" w:rsidRPr="00D93B48">
        <w:rPr>
          <w:rFonts w:ascii="Times New Roman" w:eastAsia="Times New Roman" w:hAnsi="Times New Roman" w:cs="Times New Roman"/>
          <w:sz w:val="24"/>
          <w:szCs w:val="24"/>
        </w:rPr>
        <w:t>i</w:t>
      </w:r>
      <w:r w:rsidR="009E65B4" w:rsidRPr="00D93B48">
        <w:rPr>
          <w:rFonts w:ascii="Times New Roman" w:eastAsia="Times New Roman" w:hAnsi="Times New Roman" w:cs="Times New Roman"/>
          <w:sz w:val="24"/>
          <w:szCs w:val="24"/>
        </w:rPr>
        <w:t>nsufficient specificity of the pleading</w:t>
      </w:r>
      <w:r w:rsidR="00BB69B2" w:rsidRPr="00D93B48">
        <w:rPr>
          <w:rFonts w:ascii="Times New Roman" w:eastAsia="Times New Roman" w:hAnsi="Times New Roman" w:cs="Times New Roman"/>
          <w:sz w:val="24"/>
          <w:szCs w:val="24"/>
        </w:rPr>
        <w:t xml:space="preserve">; </w:t>
      </w:r>
      <w:r w:rsidRPr="00D93B48">
        <w:rPr>
          <w:rFonts w:ascii="Times New Roman" w:eastAsia="Times New Roman" w:hAnsi="Times New Roman" w:cs="Times New Roman"/>
          <w:sz w:val="24"/>
          <w:szCs w:val="24"/>
        </w:rPr>
        <w:t xml:space="preserve">and </w:t>
      </w:r>
      <w:r w:rsidR="00BB69B2" w:rsidRPr="00D93B48">
        <w:rPr>
          <w:rFonts w:ascii="Times New Roman" w:eastAsia="Times New Roman" w:hAnsi="Times New Roman" w:cs="Times New Roman"/>
          <w:sz w:val="24"/>
          <w:szCs w:val="24"/>
        </w:rPr>
        <w:t>3</w:t>
      </w:r>
      <w:r w:rsidRPr="00D93B48">
        <w:rPr>
          <w:rFonts w:ascii="Times New Roman" w:eastAsia="Times New Roman" w:hAnsi="Times New Roman" w:cs="Times New Roman"/>
          <w:sz w:val="24"/>
          <w:szCs w:val="24"/>
        </w:rPr>
        <w:t xml:space="preserve">) </w:t>
      </w:r>
      <w:r w:rsidR="00EF3A7C" w:rsidRPr="00D93B48">
        <w:rPr>
          <w:rFonts w:ascii="Times New Roman" w:eastAsia="Times New Roman" w:hAnsi="Times New Roman" w:cs="Times New Roman"/>
          <w:sz w:val="24"/>
          <w:szCs w:val="24"/>
        </w:rPr>
        <w:t>i</w:t>
      </w:r>
      <w:r w:rsidR="00BB69B2" w:rsidRPr="00D93B48">
        <w:rPr>
          <w:rFonts w:ascii="Times New Roman" w:eastAsia="Times New Roman" w:hAnsi="Times New Roman" w:cs="Times New Roman"/>
          <w:sz w:val="24"/>
          <w:szCs w:val="24"/>
        </w:rPr>
        <w:t>nclusion of scandalous and impertinent matter.</w:t>
      </w:r>
    </w:p>
    <w:p w14:paraId="32538CA2" w14:textId="77777777" w:rsidR="000319D0" w:rsidRPr="00D93B48" w:rsidRDefault="000319D0" w:rsidP="00BE7318">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z w:val="24"/>
          <w:szCs w:val="24"/>
        </w:rPr>
      </w:pPr>
    </w:p>
    <w:p w14:paraId="206A2333" w14:textId="29844F46" w:rsidR="000319D0" w:rsidRPr="00D93B48" w:rsidRDefault="000319D0" w:rsidP="00BE7318">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z w:val="24"/>
          <w:szCs w:val="24"/>
        </w:rPr>
      </w:pPr>
      <w:r w:rsidRPr="00D93B48">
        <w:rPr>
          <w:rFonts w:ascii="Times New Roman" w:eastAsia="Times New Roman" w:hAnsi="Times New Roman" w:cs="Times New Roman"/>
          <w:sz w:val="24"/>
          <w:szCs w:val="24"/>
        </w:rPr>
        <w:t xml:space="preserve">Both the </w:t>
      </w:r>
      <w:r w:rsidR="00954CD3" w:rsidRPr="00D93B48">
        <w:rPr>
          <w:rFonts w:ascii="Times New Roman" w:eastAsia="Times New Roman" w:hAnsi="Times New Roman" w:cs="Times New Roman"/>
          <w:sz w:val="24"/>
          <w:szCs w:val="24"/>
        </w:rPr>
        <w:t>New Matter</w:t>
      </w:r>
      <w:r w:rsidRPr="00D93B48">
        <w:rPr>
          <w:rFonts w:ascii="Times New Roman" w:eastAsia="Times New Roman" w:hAnsi="Times New Roman" w:cs="Times New Roman"/>
          <w:sz w:val="24"/>
          <w:szCs w:val="24"/>
        </w:rPr>
        <w:t xml:space="preserve"> and the Preliminary Objectio</w:t>
      </w:r>
      <w:r w:rsidR="007A6932" w:rsidRPr="00D93B48">
        <w:rPr>
          <w:rFonts w:ascii="Times New Roman" w:eastAsia="Times New Roman" w:hAnsi="Times New Roman" w:cs="Times New Roman"/>
          <w:sz w:val="24"/>
          <w:szCs w:val="24"/>
        </w:rPr>
        <w:t xml:space="preserve">n filed on January 22, 2024, were accompanied by a Notice to Plead.  </w:t>
      </w:r>
    </w:p>
    <w:p w14:paraId="203AF4D0" w14:textId="77777777" w:rsidR="007A6932" w:rsidRPr="00D93B48" w:rsidRDefault="007A6932" w:rsidP="00BE7318">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z w:val="24"/>
          <w:szCs w:val="24"/>
        </w:rPr>
      </w:pPr>
    </w:p>
    <w:p w14:paraId="0103E52E" w14:textId="1F3692C2" w:rsidR="0090225B" w:rsidRPr="00D93B48" w:rsidRDefault="001C580C" w:rsidP="0090225B">
      <w:pPr>
        <w:tabs>
          <w:tab w:val="left" w:pos="-720"/>
          <w:tab w:val="left" w:pos="0"/>
        </w:tabs>
        <w:suppressAutoHyphens/>
        <w:autoSpaceDE w:val="0"/>
        <w:autoSpaceDN w:val="0"/>
        <w:spacing w:after="0" w:line="360" w:lineRule="auto"/>
        <w:ind w:firstLine="1440"/>
        <w:rPr>
          <w:rFonts w:ascii="Times New Roman" w:hAnsi="Times New Roman" w:cs="Times New Roman"/>
          <w:sz w:val="24"/>
          <w:szCs w:val="24"/>
        </w:rPr>
      </w:pPr>
      <w:r w:rsidRPr="00D93B48">
        <w:rPr>
          <w:rFonts w:ascii="Times New Roman" w:eastAsia="Times New Roman" w:hAnsi="Times New Roman" w:cs="Times New Roman"/>
          <w:sz w:val="24"/>
          <w:szCs w:val="24"/>
        </w:rPr>
        <w:t>As of the date of this Order</w:t>
      </w:r>
      <w:r w:rsidR="000319D0" w:rsidRPr="00D93B48">
        <w:rPr>
          <w:rFonts w:ascii="Times New Roman" w:eastAsia="Times New Roman" w:hAnsi="Times New Roman" w:cs="Times New Roman"/>
          <w:sz w:val="24"/>
          <w:szCs w:val="24"/>
        </w:rPr>
        <w:t>, M</w:t>
      </w:r>
      <w:r w:rsidR="007A6932" w:rsidRPr="00D93B48">
        <w:rPr>
          <w:rFonts w:ascii="Times New Roman" w:eastAsia="Times New Roman" w:hAnsi="Times New Roman" w:cs="Times New Roman"/>
          <w:sz w:val="24"/>
          <w:szCs w:val="24"/>
        </w:rPr>
        <w:t xml:space="preserve">r. Coe </w:t>
      </w:r>
      <w:r w:rsidR="00954CD3" w:rsidRPr="00D93B48">
        <w:rPr>
          <w:rFonts w:ascii="Times New Roman" w:eastAsia="Times New Roman" w:hAnsi="Times New Roman" w:cs="Times New Roman"/>
          <w:sz w:val="24"/>
          <w:szCs w:val="24"/>
        </w:rPr>
        <w:t xml:space="preserve">has </w:t>
      </w:r>
      <w:r w:rsidR="00EC1960" w:rsidRPr="00D93B48">
        <w:rPr>
          <w:rFonts w:ascii="Times New Roman" w:eastAsia="Times New Roman" w:hAnsi="Times New Roman" w:cs="Times New Roman"/>
          <w:sz w:val="24"/>
          <w:szCs w:val="24"/>
        </w:rPr>
        <w:t xml:space="preserve">not </w:t>
      </w:r>
      <w:r w:rsidR="00954CD3" w:rsidRPr="00D93B48">
        <w:rPr>
          <w:rFonts w:ascii="Times New Roman" w:eastAsia="Times New Roman" w:hAnsi="Times New Roman" w:cs="Times New Roman"/>
          <w:sz w:val="24"/>
          <w:szCs w:val="24"/>
        </w:rPr>
        <w:t xml:space="preserve">filed a reply to </w:t>
      </w:r>
      <w:proofErr w:type="gramStart"/>
      <w:r w:rsidR="00954CD3" w:rsidRPr="00D93B48">
        <w:rPr>
          <w:rFonts w:ascii="Times New Roman" w:eastAsia="Times New Roman" w:hAnsi="Times New Roman" w:cs="Times New Roman"/>
          <w:sz w:val="24"/>
          <w:szCs w:val="24"/>
        </w:rPr>
        <w:t xml:space="preserve">the </w:t>
      </w:r>
      <w:r w:rsidR="00101320" w:rsidRPr="00D93B48">
        <w:rPr>
          <w:rFonts w:ascii="Times New Roman" w:eastAsia="Times New Roman" w:hAnsi="Times New Roman" w:cs="Times New Roman"/>
          <w:sz w:val="24"/>
          <w:szCs w:val="24"/>
        </w:rPr>
        <w:t>January</w:t>
      </w:r>
      <w:proofErr w:type="gramEnd"/>
      <w:r w:rsidR="00101320" w:rsidRPr="00D93B48">
        <w:rPr>
          <w:rFonts w:ascii="Times New Roman" w:eastAsia="Times New Roman" w:hAnsi="Times New Roman" w:cs="Times New Roman"/>
          <w:sz w:val="24"/>
          <w:szCs w:val="24"/>
        </w:rPr>
        <w:t xml:space="preserve"> </w:t>
      </w:r>
      <w:r w:rsidR="00EC3C5A" w:rsidRPr="00D93B48">
        <w:rPr>
          <w:rFonts w:ascii="Times New Roman" w:eastAsia="Times New Roman" w:hAnsi="Times New Roman" w:cs="Times New Roman"/>
          <w:sz w:val="24"/>
          <w:szCs w:val="24"/>
        </w:rPr>
        <w:t xml:space="preserve">22, </w:t>
      </w:r>
      <w:r w:rsidR="00802799" w:rsidRPr="00D93B48">
        <w:rPr>
          <w:rFonts w:ascii="Times New Roman" w:eastAsia="Times New Roman" w:hAnsi="Times New Roman" w:cs="Times New Roman"/>
          <w:sz w:val="24"/>
          <w:szCs w:val="24"/>
        </w:rPr>
        <w:t>2024,</w:t>
      </w:r>
      <w:r w:rsidR="00EC3C5A" w:rsidRPr="00D93B48">
        <w:rPr>
          <w:rFonts w:ascii="Times New Roman" w:eastAsia="Times New Roman" w:hAnsi="Times New Roman" w:cs="Times New Roman"/>
          <w:sz w:val="24"/>
          <w:szCs w:val="24"/>
        </w:rPr>
        <w:t xml:space="preserve"> </w:t>
      </w:r>
      <w:r w:rsidR="00954CD3" w:rsidRPr="00D93B48">
        <w:rPr>
          <w:rFonts w:ascii="Times New Roman" w:eastAsia="Times New Roman" w:hAnsi="Times New Roman" w:cs="Times New Roman"/>
          <w:sz w:val="24"/>
          <w:szCs w:val="24"/>
        </w:rPr>
        <w:t xml:space="preserve">New </w:t>
      </w:r>
      <w:proofErr w:type="gramStart"/>
      <w:r w:rsidR="00954CD3" w:rsidRPr="00D93B48">
        <w:rPr>
          <w:rFonts w:ascii="Times New Roman" w:eastAsia="Times New Roman" w:hAnsi="Times New Roman" w:cs="Times New Roman"/>
          <w:sz w:val="24"/>
          <w:szCs w:val="24"/>
        </w:rPr>
        <w:t>Matter</w:t>
      </w:r>
      <w:proofErr w:type="gramEnd"/>
      <w:r w:rsidR="00954CD3" w:rsidRPr="00D93B48">
        <w:rPr>
          <w:rFonts w:ascii="Times New Roman" w:eastAsia="Times New Roman" w:hAnsi="Times New Roman" w:cs="Times New Roman"/>
          <w:sz w:val="24"/>
          <w:szCs w:val="24"/>
        </w:rPr>
        <w:t xml:space="preserve"> or a </w:t>
      </w:r>
      <w:r w:rsidR="000E07B4" w:rsidRPr="00D93B48">
        <w:rPr>
          <w:rFonts w:ascii="Times New Roman" w:eastAsia="Times New Roman" w:hAnsi="Times New Roman" w:cs="Times New Roman"/>
          <w:sz w:val="24"/>
          <w:szCs w:val="24"/>
        </w:rPr>
        <w:t>response to the Preliminary Objection.</w:t>
      </w:r>
    </w:p>
    <w:p w14:paraId="63298DDB" w14:textId="77777777" w:rsidR="0090225B" w:rsidRPr="00D93B48" w:rsidRDefault="0090225B" w:rsidP="0090225B">
      <w:pPr>
        <w:tabs>
          <w:tab w:val="left" w:pos="-720"/>
          <w:tab w:val="left" w:pos="0"/>
        </w:tabs>
        <w:suppressAutoHyphens/>
        <w:autoSpaceDE w:val="0"/>
        <w:autoSpaceDN w:val="0"/>
        <w:spacing w:after="0" w:line="360" w:lineRule="auto"/>
        <w:ind w:firstLine="1440"/>
        <w:rPr>
          <w:rFonts w:ascii="Times New Roman" w:hAnsi="Times New Roman" w:cs="Times New Roman"/>
          <w:sz w:val="24"/>
          <w:szCs w:val="24"/>
        </w:rPr>
      </w:pPr>
    </w:p>
    <w:p w14:paraId="3BDAA273" w14:textId="6E95E524" w:rsidR="006557B0" w:rsidRPr="00D93B48" w:rsidRDefault="00F43C78" w:rsidP="0090225B">
      <w:pPr>
        <w:tabs>
          <w:tab w:val="left" w:pos="-720"/>
          <w:tab w:val="left" w:pos="0"/>
        </w:tabs>
        <w:suppressAutoHyphens/>
        <w:autoSpaceDE w:val="0"/>
        <w:autoSpaceDN w:val="0"/>
        <w:spacing w:after="0" w:line="360" w:lineRule="auto"/>
        <w:ind w:firstLine="1440"/>
        <w:rPr>
          <w:rFonts w:ascii="Times New Roman" w:hAnsi="Times New Roman" w:cs="Times New Roman"/>
          <w:sz w:val="24"/>
          <w:szCs w:val="24"/>
        </w:rPr>
      </w:pPr>
      <w:r w:rsidRPr="00D93B48">
        <w:rPr>
          <w:rFonts w:ascii="Times New Roman" w:eastAsia="Times New Roman" w:hAnsi="Times New Roman" w:cs="Times New Roman"/>
          <w:spacing w:val="-3"/>
          <w:sz w:val="24"/>
          <w:szCs w:val="24"/>
        </w:rPr>
        <w:t xml:space="preserve">For the reasons set forth below, PGW’s Preliminary Objection will be granted in part, and </w:t>
      </w:r>
      <w:bookmarkStart w:id="1" w:name="_Hlk137730750"/>
      <w:r w:rsidR="00B20981" w:rsidRPr="00D93B48">
        <w:rPr>
          <w:rFonts w:ascii="Times New Roman" w:eastAsia="Times New Roman" w:hAnsi="Times New Roman" w:cs="Times New Roman"/>
          <w:spacing w:val="-3"/>
          <w:sz w:val="24"/>
          <w:szCs w:val="24"/>
        </w:rPr>
        <w:t xml:space="preserve">the </w:t>
      </w:r>
      <w:r w:rsidR="006557B0" w:rsidRPr="00D93B48">
        <w:rPr>
          <w:rFonts w:ascii="Times New Roman" w:eastAsia="Times New Roman" w:hAnsi="Times New Roman" w:cs="Times New Roman"/>
          <w:spacing w:val="-3"/>
          <w:sz w:val="24"/>
          <w:szCs w:val="24"/>
        </w:rPr>
        <w:t xml:space="preserve">portion of the Amended Complaint </w:t>
      </w:r>
      <w:r w:rsidR="006557B0" w:rsidRPr="00D93B48">
        <w:rPr>
          <w:rFonts w:ascii="Times New Roman" w:hAnsi="Times New Roman" w:cs="Times New Roman"/>
          <w:sz w:val="24"/>
          <w:szCs w:val="24"/>
        </w:rPr>
        <w:t>concerning</w:t>
      </w:r>
      <w:r w:rsidR="00EC3C5A" w:rsidRPr="00D93B48">
        <w:rPr>
          <w:rFonts w:ascii="Times New Roman" w:hAnsi="Times New Roman" w:cs="Times New Roman"/>
          <w:sz w:val="24"/>
          <w:szCs w:val="24"/>
        </w:rPr>
        <w:t xml:space="preserve"> alleged violations of </w:t>
      </w:r>
      <w:r w:rsidR="00B20981" w:rsidRPr="00D93B48">
        <w:rPr>
          <w:rFonts w:ascii="Times New Roman" w:hAnsi="Times New Roman" w:cs="Times New Roman"/>
          <w:sz w:val="24"/>
          <w:szCs w:val="24"/>
        </w:rPr>
        <w:t>Securities and Exchange laws will be dismissed</w:t>
      </w:r>
      <w:r w:rsidR="007350EA" w:rsidRPr="00D93B48">
        <w:rPr>
          <w:rFonts w:ascii="Times New Roman" w:hAnsi="Times New Roman" w:cs="Times New Roman"/>
          <w:sz w:val="24"/>
          <w:szCs w:val="24"/>
        </w:rPr>
        <w:t xml:space="preserve"> for lack of Commission jurisdiction</w:t>
      </w:r>
      <w:r w:rsidR="006557B0" w:rsidRPr="00D93B48">
        <w:rPr>
          <w:rFonts w:ascii="Times New Roman" w:hAnsi="Times New Roman" w:cs="Times New Roman"/>
          <w:sz w:val="24"/>
          <w:szCs w:val="24"/>
        </w:rPr>
        <w:t>.</w:t>
      </w:r>
      <w:r w:rsidR="0090225B" w:rsidRPr="00D93B48">
        <w:rPr>
          <w:rFonts w:ascii="Times New Roman" w:hAnsi="Times New Roman" w:cs="Times New Roman"/>
          <w:sz w:val="24"/>
          <w:szCs w:val="24"/>
        </w:rPr>
        <w:t xml:space="preserve">  However, the</w:t>
      </w:r>
      <w:r w:rsidR="006557B0" w:rsidRPr="00D93B48">
        <w:rPr>
          <w:rFonts w:ascii="Times New Roman" w:eastAsia="Times New Roman" w:hAnsi="Times New Roman" w:cs="Times New Roman"/>
          <w:spacing w:val="-3"/>
          <w:sz w:val="24"/>
          <w:szCs w:val="24"/>
        </w:rPr>
        <w:t xml:space="preserve"> matter shall be set for </w:t>
      </w:r>
      <w:r w:rsidR="006557B0" w:rsidRPr="00D93B48">
        <w:rPr>
          <w:rFonts w:ascii="Times New Roman" w:eastAsia="Calibri" w:hAnsi="Times New Roman" w:cs="Times New Roman"/>
          <w:sz w:val="24"/>
          <w:szCs w:val="24"/>
        </w:rPr>
        <w:t xml:space="preserve">a telephonic prehearing conference in which the Complainant must come prepared to state </w:t>
      </w:r>
      <w:r w:rsidR="006557B0" w:rsidRPr="00D93B48">
        <w:rPr>
          <w:rFonts w:ascii="Times New Roman" w:hAnsi="Times New Roman" w:cs="Times New Roman"/>
          <w:i/>
          <w:iCs/>
          <w:sz w:val="24"/>
          <w:szCs w:val="24"/>
        </w:rPr>
        <w:t>clearly, plainly, and specifically</w:t>
      </w:r>
      <w:r w:rsidR="006557B0" w:rsidRPr="00D93B48">
        <w:rPr>
          <w:rFonts w:ascii="Times New Roman" w:hAnsi="Times New Roman" w:cs="Times New Roman"/>
          <w:sz w:val="24"/>
          <w:szCs w:val="24"/>
        </w:rPr>
        <w:t xml:space="preserve"> if and how the Company has violated a statute, regulation, or order which the Commission has jurisdiction to administer.</w:t>
      </w:r>
    </w:p>
    <w:p w14:paraId="1D7F5AD8" w14:textId="4D96DD2F" w:rsidR="00F43C78" w:rsidRPr="00D93B48" w:rsidRDefault="00F43C78" w:rsidP="001116AE">
      <w:pPr>
        <w:tabs>
          <w:tab w:val="left" w:pos="-720"/>
          <w:tab w:val="left" w:pos="0"/>
        </w:tabs>
        <w:suppressAutoHyphens/>
        <w:autoSpaceDE w:val="0"/>
        <w:autoSpaceDN w:val="0"/>
        <w:spacing w:after="0" w:line="360" w:lineRule="auto"/>
        <w:ind w:firstLine="1440"/>
        <w:rPr>
          <w:rFonts w:ascii="Times New Roman" w:hAnsi="Times New Roman" w:cs="Times New Roman"/>
          <w:sz w:val="24"/>
          <w:szCs w:val="24"/>
        </w:rPr>
      </w:pPr>
    </w:p>
    <w:bookmarkEnd w:id="1"/>
    <w:p w14:paraId="01887571" w14:textId="77777777" w:rsidR="00F43C78" w:rsidRPr="00D93B48" w:rsidRDefault="00F43C78" w:rsidP="00F43C78">
      <w:pPr>
        <w:tabs>
          <w:tab w:val="left" w:pos="-720"/>
          <w:tab w:val="num" w:pos="0"/>
          <w:tab w:val="left" w:pos="207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D93B48">
        <w:rPr>
          <w:rFonts w:ascii="Times New Roman" w:eastAsia="Times New Roman" w:hAnsi="Times New Roman" w:cs="Times New Roman"/>
          <w:spacing w:val="-3"/>
          <w:sz w:val="24"/>
          <w:szCs w:val="24"/>
          <w:u w:val="single"/>
        </w:rPr>
        <w:t>DISCUSSION</w:t>
      </w:r>
    </w:p>
    <w:p w14:paraId="6B0E1A4F" w14:textId="77777777" w:rsidR="00F43C78" w:rsidRPr="00D93B48" w:rsidRDefault="00F43C78" w:rsidP="00F43C78">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171433A0" w14:textId="77777777" w:rsidR="00F43C78" w:rsidRPr="00D93B48" w:rsidRDefault="00F43C78" w:rsidP="00F43C78">
      <w:pPr>
        <w:autoSpaceDE w:val="0"/>
        <w:autoSpaceDN w:val="0"/>
        <w:spacing w:after="0" w:line="360" w:lineRule="auto"/>
        <w:rPr>
          <w:rFonts w:ascii="Times New Roman" w:eastAsia="Times New Roman" w:hAnsi="Times New Roman" w:cs="Times New Roman"/>
          <w:sz w:val="24"/>
          <w:szCs w:val="24"/>
        </w:rPr>
      </w:pPr>
      <w:r w:rsidRPr="00D93B48">
        <w:rPr>
          <w:rFonts w:ascii="Times New Roman" w:eastAsia="Times New Roman" w:hAnsi="Times New Roman" w:cs="Times New Roman"/>
          <w:spacing w:val="-3"/>
          <w:sz w:val="24"/>
          <w:szCs w:val="24"/>
        </w:rPr>
        <w:tab/>
      </w:r>
      <w:r w:rsidRPr="00D93B48">
        <w:rPr>
          <w:rFonts w:ascii="Times New Roman" w:eastAsia="Times New Roman" w:hAnsi="Times New Roman" w:cs="Times New Roman"/>
          <w:spacing w:val="-3"/>
          <w:sz w:val="24"/>
          <w:szCs w:val="24"/>
        </w:rPr>
        <w:tab/>
      </w:r>
      <w:r w:rsidRPr="00D93B48">
        <w:rPr>
          <w:rFonts w:ascii="Times New Roman" w:eastAsia="Times New Roman" w:hAnsi="Times New Roman" w:cs="Times New Roman"/>
          <w:sz w:val="24"/>
          <w:szCs w:val="24"/>
        </w:rPr>
        <w:t xml:space="preserve">Commission regulations permit the filing of preliminary objections.  </w:t>
      </w:r>
    </w:p>
    <w:p w14:paraId="709D7FBD" w14:textId="77777777" w:rsidR="00C263C0" w:rsidRPr="00D93B48" w:rsidRDefault="00F43C78" w:rsidP="00F43C78">
      <w:pPr>
        <w:autoSpaceDE w:val="0"/>
        <w:autoSpaceDN w:val="0"/>
        <w:spacing w:after="0" w:line="360" w:lineRule="auto"/>
        <w:rPr>
          <w:rFonts w:ascii="Times New Roman" w:eastAsia="Times New Roman" w:hAnsi="Times New Roman" w:cs="Times New Roman"/>
          <w:i/>
          <w:iCs/>
          <w:sz w:val="24"/>
          <w:szCs w:val="24"/>
        </w:rPr>
      </w:pPr>
      <w:r w:rsidRPr="00D93B48">
        <w:rPr>
          <w:rFonts w:ascii="Times New Roman" w:eastAsia="Times New Roman" w:hAnsi="Times New Roman" w:cs="Times New Roman"/>
          <w:sz w:val="24"/>
          <w:szCs w:val="24"/>
        </w:rPr>
        <w:t xml:space="preserve">52 </w:t>
      </w:r>
      <w:proofErr w:type="spellStart"/>
      <w:r w:rsidRPr="00D93B48">
        <w:rPr>
          <w:rFonts w:ascii="Times New Roman" w:eastAsia="Times New Roman" w:hAnsi="Times New Roman" w:cs="Times New Roman"/>
          <w:sz w:val="24"/>
          <w:szCs w:val="24"/>
        </w:rPr>
        <w:t>Pa.Code</w:t>
      </w:r>
      <w:proofErr w:type="spellEnd"/>
      <w:r w:rsidRPr="00D93B48">
        <w:rPr>
          <w:rFonts w:ascii="Times New Roman" w:eastAsia="Times New Roman" w:hAnsi="Times New Roman" w:cs="Times New Roman"/>
          <w:sz w:val="24"/>
          <w:szCs w:val="24"/>
        </w:rPr>
        <w:t xml:space="preserve"> §§ 5.101(a)(1)-(7).  Preliminary objection practice before the Commission is </w:t>
      </w:r>
      <w:proofErr w:type="gramStart"/>
      <w:r w:rsidRPr="00D93B48">
        <w:rPr>
          <w:rFonts w:ascii="Times New Roman" w:eastAsia="Times New Roman" w:hAnsi="Times New Roman" w:cs="Times New Roman"/>
          <w:sz w:val="24"/>
          <w:szCs w:val="24"/>
        </w:rPr>
        <w:t>similar to</w:t>
      </w:r>
      <w:proofErr w:type="gramEnd"/>
      <w:r w:rsidRPr="00D93B48">
        <w:rPr>
          <w:rFonts w:ascii="Times New Roman" w:eastAsia="Times New Roman" w:hAnsi="Times New Roman" w:cs="Times New Roman"/>
          <w:sz w:val="24"/>
          <w:szCs w:val="24"/>
        </w:rPr>
        <w:t xml:space="preserve"> Pennsylvania civil practice respecting preliminary objections.  </w:t>
      </w:r>
      <w:r w:rsidRPr="00D93B48">
        <w:rPr>
          <w:rFonts w:ascii="Times New Roman" w:eastAsia="Times New Roman" w:hAnsi="Times New Roman" w:cs="Times New Roman"/>
          <w:i/>
          <w:iCs/>
          <w:sz w:val="24"/>
          <w:szCs w:val="24"/>
        </w:rPr>
        <w:t xml:space="preserve">Equitable Small Transportation </w:t>
      </w:r>
    </w:p>
    <w:p w14:paraId="3FF086C2" w14:textId="77777777" w:rsidR="00027D7A" w:rsidRPr="00D93B48" w:rsidRDefault="00027D7A" w:rsidP="00F43C78">
      <w:pPr>
        <w:autoSpaceDE w:val="0"/>
        <w:autoSpaceDN w:val="0"/>
        <w:spacing w:after="0" w:line="360" w:lineRule="auto"/>
        <w:rPr>
          <w:rFonts w:ascii="Times New Roman" w:eastAsia="Times New Roman" w:hAnsi="Times New Roman" w:cs="Times New Roman"/>
          <w:i/>
          <w:iCs/>
          <w:sz w:val="24"/>
          <w:szCs w:val="24"/>
        </w:rPr>
      </w:pPr>
    </w:p>
    <w:p w14:paraId="7D0D47EE" w14:textId="7FECF143" w:rsidR="00F43C78" w:rsidRPr="00D93B48" w:rsidRDefault="00F43C78" w:rsidP="00F43C78">
      <w:pPr>
        <w:autoSpaceDE w:val="0"/>
        <w:autoSpaceDN w:val="0"/>
        <w:spacing w:after="0" w:line="360" w:lineRule="auto"/>
        <w:rPr>
          <w:rFonts w:ascii="Times New Roman" w:eastAsia="Times New Roman" w:hAnsi="Times New Roman" w:cs="Times New Roman"/>
          <w:sz w:val="24"/>
          <w:szCs w:val="24"/>
        </w:rPr>
      </w:pPr>
      <w:r w:rsidRPr="00D93B48">
        <w:rPr>
          <w:rFonts w:ascii="Times New Roman" w:eastAsia="Times New Roman" w:hAnsi="Times New Roman" w:cs="Times New Roman"/>
          <w:i/>
          <w:iCs/>
          <w:sz w:val="24"/>
          <w:szCs w:val="24"/>
        </w:rPr>
        <w:lastRenderedPageBreak/>
        <w:t>Intervenors v. Equitable Gas Company</w:t>
      </w:r>
      <w:r w:rsidRPr="00D93B48">
        <w:rPr>
          <w:rFonts w:ascii="Times New Roman" w:eastAsia="Times New Roman" w:hAnsi="Times New Roman" w:cs="Times New Roman"/>
          <w:sz w:val="24"/>
          <w:szCs w:val="24"/>
        </w:rPr>
        <w:t>, 1994 Pa. PUC LEXIS 69, Docket No. C-00935435 (July 18, 1994).</w:t>
      </w:r>
    </w:p>
    <w:p w14:paraId="28E54395" w14:textId="77777777" w:rsidR="00F43C78" w:rsidRPr="00D93B48" w:rsidRDefault="00F43C78" w:rsidP="00F43C78">
      <w:pPr>
        <w:spacing w:after="0" w:line="360" w:lineRule="auto"/>
        <w:rPr>
          <w:rFonts w:ascii="Times New Roman" w:eastAsia="Times New Roman" w:hAnsi="Times New Roman" w:cs="Times New Roman"/>
          <w:sz w:val="24"/>
          <w:szCs w:val="24"/>
        </w:rPr>
      </w:pPr>
      <w:r w:rsidRPr="00D93B48">
        <w:rPr>
          <w:rFonts w:ascii="Times New Roman" w:eastAsia="Times New Roman" w:hAnsi="Times New Roman" w:cs="Times New Roman"/>
          <w:sz w:val="24"/>
          <w:szCs w:val="24"/>
        </w:rPr>
        <w:tab/>
      </w:r>
      <w:r w:rsidRPr="00D93B48">
        <w:rPr>
          <w:rFonts w:ascii="Times New Roman" w:eastAsia="Times New Roman" w:hAnsi="Times New Roman" w:cs="Times New Roman"/>
          <w:sz w:val="24"/>
          <w:szCs w:val="24"/>
        </w:rPr>
        <w:tab/>
        <w:t>Commission regulations provide:</w:t>
      </w:r>
    </w:p>
    <w:p w14:paraId="7E5E66EB" w14:textId="77777777" w:rsidR="00F43C78" w:rsidRPr="00D93B48" w:rsidRDefault="00F43C78" w:rsidP="00F43C78">
      <w:pPr>
        <w:spacing w:after="0" w:line="360" w:lineRule="auto"/>
        <w:rPr>
          <w:rFonts w:ascii="Times New Roman" w:eastAsia="Times New Roman" w:hAnsi="Times New Roman" w:cs="Times New Roman"/>
          <w:sz w:val="24"/>
          <w:szCs w:val="24"/>
        </w:rPr>
      </w:pPr>
    </w:p>
    <w:p w14:paraId="069F4F21" w14:textId="77777777" w:rsidR="00F43C78" w:rsidRPr="00D93B48" w:rsidRDefault="00F43C78" w:rsidP="00F43C78">
      <w:pPr>
        <w:suppressAutoHyphens/>
        <w:spacing w:after="0" w:line="240" w:lineRule="auto"/>
        <w:ind w:left="720" w:right="1440" w:firstLine="720"/>
        <w:rPr>
          <w:rFonts w:ascii="Times New Roman" w:eastAsia="Times New Roman" w:hAnsi="Times New Roman" w:cs="Times New Roman"/>
          <w:b/>
          <w:bCs/>
          <w:sz w:val="24"/>
          <w:szCs w:val="24"/>
        </w:rPr>
      </w:pPr>
      <w:r w:rsidRPr="00D93B48">
        <w:rPr>
          <w:rFonts w:ascii="Times New Roman" w:eastAsia="Times New Roman" w:hAnsi="Times New Roman" w:cs="Times New Roman"/>
          <w:b/>
          <w:bCs/>
          <w:sz w:val="24"/>
          <w:szCs w:val="24"/>
        </w:rPr>
        <w:t>§ 5.101. Preliminary objections.</w:t>
      </w:r>
    </w:p>
    <w:p w14:paraId="28AB69B3" w14:textId="77777777" w:rsidR="00F43C78" w:rsidRPr="00D93B48" w:rsidRDefault="00F43C78" w:rsidP="00F43C78">
      <w:pPr>
        <w:suppressAutoHyphens/>
        <w:spacing w:after="0" w:line="240" w:lineRule="auto"/>
        <w:ind w:left="1440" w:right="1440"/>
        <w:rPr>
          <w:rFonts w:ascii="Times New Roman" w:eastAsia="Times New Roman" w:hAnsi="Times New Roman" w:cs="Times New Roman"/>
          <w:sz w:val="24"/>
          <w:szCs w:val="24"/>
        </w:rPr>
      </w:pPr>
      <w:r w:rsidRPr="00D93B48">
        <w:rPr>
          <w:rFonts w:ascii="Times New Roman" w:eastAsia="Times New Roman" w:hAnsi="Times New Roman" w:cs="Times New Roman"/>
          <w:sz w:val="24"/>
          <w:szCs w:val="24"/>
        </w:rPr>
        <w:t>(a)</w:t>
      </w:r>
      <w:r w:rsidRPr="00D93B48">
        <w:rPr>
          <w:rFonts w:ascii="Times New Roman" w:eastAsia="Times New Roman" w:hAnsi="Times New Roman" w:cs="Times New Roman"/>
          <w:sz w:val="24"/>
          <w:szCs w:val="24"/>
        </w:rPr>
        <w:tab/>
      </w:r>
      <w:r w:rsidRPr="00D93B48">
        <w:rPr>
          <w:rFonts w:ascii="Times New Roman" w:eastAsia="Times New Roman" w:hAnsi="Times New Roman" w:cs="Times New Roman"/>
          <w:i/>
          <w:iCs/>
          <w:sz w:val="24"/>
          <w:szCs w:val="24"/>
        </w:rPr>
        <w:t>Grounds.</w:t>
      </w:r>
      <w:r w:rsidRPr="00D93B48">
        <w:rPr>
          <w:rFonts w:ascii="Times New Roman" w:eastAsia="Times New Roman" w:hAnsi="Times New Roman" w:cs="Times New Roman"/>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2E983059" w14:textId="77777777" w:rsidR="006D3FC7" w:rsidRPr="00D93B48" w:rsidRDefault="006D3FC7" w:rsidP="00F43C78">
      <w:pPr>
        <w:suppressAutoHyphens/>
        <w:spacing w:after="0" w:line="240" w:lineRule="auto"/>
        <w:ind w:left="1440" w:right="1440"/>
        <w:rPr>
          <w:rFonts w:ascii="Times New Roman" w:eastAsia="Times New Roman" w:hAnsi="Times New Roman" w:cs="Times New Roman"/>
          <w:sz w:val="24"/>
          <w:szCs w:val="24"/>
        </w:rPr>
      </w:pPr>
    </w:p>
    <w:p w14:paraId="5302C128" w14:textId="77777777" w:rsidR="00F43C78" w:rsidRPr="00D93B48" w:rsidRDefault="00F43C78" w:rsidP="00F43C78">
      <w:pPr>
        <w:suppressAutoHyphens/>
        <w:spacing w:after="0" w:line="240" w:lineRule="auto"/>
        <w:ind w:left="2160" w:right="1440"/>
        <w:rPr>
          <w:rFonts w:ascii="Times New Roman" w:eastAsia="Times New Roman" w:hAnsi="Times New Roman" w:cs="Times New Roman"/>
          <w:sz w:val="24"/>
          <w:szCs w:val="24"/>
        </w:rPr>
      </w:pPr>
      <w:r w:rsidRPr="00D93B48">
        <w:rPr>
          <w:rFonts w:ascii="Times New Roman" w:eastAsia="Times New Roman" w:hAnsi="Times New Roman" w:cs="Times New Roman"/>
          <w:sz w:val="24"/>
          <w:szCs w:val="24"/>
        </w:rPr>
        <w:t>(1)</w:t>
      </w:r>
      <w:r w:rsidRPr="00D93B48">
        <w:rPr>
          <w:rFonts w:ascii="Times New Roman" w:eastAsia="Times New Roman" w:hAnsi="Times New Roman" w:cs="Times New Roman"/>
          <w:sz w:val="24"/>
          <w:szCs w:val="24"/>
        </w:rPr>
        <w:tab/>
      </w:r>
      <w:r w:rsidRPr="00D93B48">
        <w:rPr>
          <w:rFonts w:ascii="Times New Roman" w:eastAsia="Times New Roman" w:hAnsi="Times New Roman" w:cs="Times New Roman"/>
          <w:b/>
          <w:bCs/>
          <w:sz w:val="24"/>
          <w:szCs w:val="24"/>
        </w:rPr>
        <w:t>Lack of Commission jurisdiction</w:t>
      </w:r>
      <w:r w:rsidRPr="00D93B48">
        <w:rPr>
          <w:rFonts w:ascii="Times New Roman" w:eastAsia="Times New Roman" w:hAnsi="Times New Roman" w:cs="Times New Roman"/>
          <w:sz w:val="24"/>
          <w:szCs w:val="24"/>
        </w:rPr>
        <w:t xml:space="preserve"> or improper service of the pleading initiating the proceeding.</w:t>
      </w:r>
      <w:r w:rsidRPr="00D93B48">
        <w:rPr>
          <w:rFonts w:ascii="Times New Roman" w:eastAsia="Times New Roman" w:hAnsi="Times New Roman" w:cs="Times New Roman"/>
          <w:sz w:val="24"/>
          <w:szCs w:val="24"/>
        </w:rPr>
        <w:br/>
      </w:r>
      <w:r w:rsidRPr="00D93B48">
        <w:rPr>
          <w:rFonts w:ascii="Times New Roman" w:eastAsia="Times New Roman" w:hAnsi="Times New Roman" w:cs="Times New Roman"/>
          <w:sz w:val="24"/>
          <w:szCs w:val="24"/>
        </w:rPr>
        <w:br/>
        <w:t>(2)</w:t>
      </w:r>
      <w:r w:rsidRPr="00D93B48">
        <w:rPr>
          <w:rFonts w:ascii="Times New Roman" w:eastAsia="Times New Roman" w:hAnsi="Times New Roman" w:cs="Times New Roman"/>
          <w:sz w:val="24"/>
          <w:szCs w:val="24"/>
        </w:rPr>
        <w:tab/>
      </w:r>
      <w:r w:rsidRPr="00D93B48">
        <w:rPr>
          <w:rFonts w:ascii="Times New Roman" w:eastAsia="Times New Roman" w:hAnsi="Times New Roman" w:cs="Times New Roman"/>
          <w:b/>
          <w:bCs/>
          <w:sz w:val="24"/>
          <w:szCs w:val="24"/>
        </w:rPr>
        <w:t>Failure of a pleading to conform to this chapter or the inclusion of scandalous or impertinent matter.</w:t>
      </w:r>
      <w:r w:rsidRPr="00D93B48">
        <w:rPr>
          <w:rFonts w:ascii="Times New Roman" w:eastAsia="Times New Roman" w:hAnsi="Times New Roman" w:cs="Times New Roman"/>
          <w:sz w:val="24"/>
          <w:szCs w:val="24"/>
        </w:rPr>
        <w:br/>
      </w:r>
      <w:r w:rsidRPr="00D93B48">
        <w:rPr>
          <w:rFonts w:ascii="Times New Roman" w:eastAsia="Times New Roman" w:hAnsi="Times New Roman" w:cs="Times New Roman"/>
          <w:sz w:val="24"/>
          <w:szCs w:val="24"/>
        </w:rPr>
        <w:br/>
        <w:t>(3)</w:t>
      </w:r>
      <w:r w:rsidRPr="00D93B48">
        <w:rPr>
          <w:rFonts w:ascii="Times New Roman" w:eastAsia="Times New Roman" w:hAnsi="Times New Roman" w:cs="Times New Roman"/>
          <w:sz w:val="24"/>
          <w:szCs w:val="24"/>
        </w:rPr>
        <w:tab/>
      </w:r>
      <w:r w:rsidRPr="00D93B48">
        <w:rPr>
          <w:rFonts w:ascii="Times New Roman" w:eastAsia="Times New Roman" w:hAnsi="Times New Roman" w:cs="Times New Roman"/>
          <w:b/>
          <w:bCs/>
          <w:sz w:val="24"/>
          <w:szCs w:val="24"/>
        </w:rPr>
        <w:t>Insufficient specificity of a pleading.</w:t>
      </w:r>
      <w:r w:rsidRPr="00D93B48">
        <w:rPr>
          <w:rFonts w:ascii="Times New Roman" w:eastAsia="Times New Roman" w:hAnsi="Times New Roman" w:cs="Times New Roman"/>
          <w:b/>
          <w:bCs/>
          <w:sz w:val="24"/>
          <w:szCs w:val="24"/>
        </w:rPr>
        <w:br/>
      </w:r>
      <w:r w:rsidRPr="00D93B48">
        <w:rPr>
          <w:rFonts w:ascii="Times New Roman" w:eastAsia="Times New Roman" w:hAnsi="Times New Roman" w:cs="Times New Roman"/>
          <w:sz w:val="24"/>
          <w:szCs w:val="24"/>
        </w:rPr>
        <w:br/>
        <w:t>(4)</w:t>
      </w:r>
      <w:r w:rsidRPr="00D93B48">
        <w:rPr>
          <w:rFonts w:ascii="Times New Roman" w:eastAsia="Times New Roman" w:hAnsi="Times New Roman" w:cs="Times New Roman"/>
          <w:sz w:val="24"/>
          <w:szCs w:val="24"/>
        </w:rPr>
        <w:tab/>
        <w:t>Legal insufficiency of a pleading.</w:t>
      </w:r>
      <w:r w:rsidRPr="00D93B48">
        <w:rPr>
          <w:rFonts w:ascii="Times New Roman" w:eastAsia="Times New Roman" w:hAnsi="Times New Roman" w:cs="Times New Roman"/>
          <w:sz w:val="24"/>
          <w:szCs w:val="24"/>
        </w:rPr>
        <w:br/>
      </w:r>
      <w:r w:rsidRPr="00D93B48">
        <w:rPr>
          <w:rFonts w:ascii="Times New Roman" w:eastAsia="Times New Roman" w:hAnsi="Times New Roman" w:cs="Times New Roman"/>
          <w:sz w:val="24"/>
          <w:szCs w:val="24"/>
        </w:rPr>
        <w:br/>
        <w:t>(5)</w:t>
      </w:r>
      <w:r w:rsidRPr="00D93B48">
        <w:rPr>
          <w:rFonts w:ascii="Times New Roman" w:eastAsia="Times New Roman" w:hAnsi="Times New Roman" w:cs="Times New Roman"/>
          <w:sz w:val="24"/>
          <w:szCs w:val="24"/>
        </w:rPr>
        <w:tab/>
        <w:t>Lack of capacity to sue, nonjoinder of a necessary party or misjoinder of a cause of action.</w:t>
      </w:r>
    </w:p>
    <w:p w14:paraId="2BB90029" w14:textId="77777777" w:rsidR="00F43C78" w:rsidRPr="00D93B48" w:rsidRDefault="00F43C78" w:rsidP="00F43C78">
      <w:pPr>
        <w:suppressAutoHyphens/>
        <w:spacing w:after="0" w:line="240" w:lineRule="auto"/>
        <w:ind w:left="2160" w:right="1440"/>
        <w:rPr>
          <w:rFonts w:ascii="Times New Roman" w:eastAsia="Times New Roman" w:hAnsi="Times New Roman" w:cs="Times New Roman"/>
          <w:sz w:val="24"/>
          <w:szCs w:val="24"/>
        </w:rPr>
      </w:pPr>
      <w:r w:rsidRPr="00D93B48">
        <w:rPr>
          <w:rFonts w:ascii="Times New Roman" w:eastAsia="Times New Roman" w:hAnsi="Times New Roman" w:cs="Times New Roman"/>
          <w:sz w:val="24"/>
          <w:szCs w:val="24"/>
        </w:rPr>
        <w:br/>
        <w:t>(6)</w:t>
      </w:r>
      <w:r w:rsidRPr="00D93B48">
        <w:rPr>
          <w:rFonts w:ascii="Times New Roman" w:eastAsia="Times New Roman" w:hAnsi="Times New Roman" w:cs="Times New Roman"/>
          <w:sz w:val="24"/>
          <w:szCs w:val="24"/>
        </w:rPr>
        <w:tab/>
        <w:t>Pendency of a prior proceeding or agreement for alternative dispute resolution.</w:t>
      </w:r>
    </w:p>
    <w:p w14:paraId="7347FC8F" w14:textId="77777777" w:rsidR="00F43C78" w:rsidRPr="00D93B48" w:rsidRDefault="00F43C78" w:rsidP="00F43C78">
      <w:pPr>
        <w:suppressAutoHyphens/>
        <w:spacing w:after="0" w:line="240" w:lineRule="auto"/>
        <w:ind w:left="2160" w:right="1440"/>
        <w:rPr>
          <w:rFonts w:ascii="Times New Roman" w:eastAsia="Times New Roman" w:hAnsi="Times New Roman" w:cs="Times New Roman"/>
          <w:sz w:val="24"/>
          <w:szCs w:val="24"/>
        </w:rPr>
      </w:pPr>
    </w:p>
    <w:p w14:paraId="2BB0E7B9" w14:textId="4008C37C" w:rsidR="00F43C78" w:rsidRPr="00D93B48" w:rsidRDefault="00F43C78" w:rsidP="00F43C78">
      <w:pPr>
        <w:suppressAutoHyphens/>
        <w:spacing w:after="0" w:line="240" w:lineRule="auto"/>
        <w:ind w:left="2160" w:right="1440"/>
        <w:rPr>
          <w:rFonts w:ascii="Times New Roman" w:eastAsia="Times New Roman" w:hAnsi="Times New Roman" w:cs="Times New Roman"/>
          <w:sz w:val="24"/>
          <w:szCs w:val="24"/>
        </w:rPr>
      </w:pPr>
      <w:r w:rsidRPr="00D93B48">
        <w:rPr>
          <w:rFonts w:ascii="Times New Roman" w:eastAsia="Times New Roman" w:hAnsi="Times New Roman" w:cs="Times New Roman"/>
          <w:sz w:val="24"/>
          <w:szCs w:val="24"/>
        </w:rPr>
        <w:t>(7)</w:t>
      </w:r>
      <w:r w:rsidRPr="00D93B48">
        <w:rPr>
          <w:rFonts w:ascii="Times New Roman" w:eastAsia="Times New Roman" w:hAnsi="Times New Roman" w:cs="Times New Roman"/>
          <w:sz w:val="24"/>
          <w:szCs w:val="24"/>
        </w:rPr>
        <w:tab/>
        <w:t>Standing of a party to participate in the proceeding.</w:t>
      </w:r>
      <w:r w:rsidR="00D15F9D" w:rsidRPr="00D93B48">
        <w:rPr>
          <w:rStyle w:val="FootnoteReference"/>
          <w:rFonts w:ascii="Times New Roman" w:eastAsia="Times New Roman" w:hAnsi="Times New Roman" w:cs="Times New Roman"/>
          <w:sz w:val="24"/>
          <w:szCs w:val="24"/>
        </w:rPr>
        <w:footnoteReference w:id="1"/>
      </w:r>
    </w:p>
    <w:p w14:paraId="3CB65BBB" w14:textId="77777777" w:rsidR="00F43C78" w:rsidRPr="00D93B48" w:rsidRDefault="00F43C78" w:rsidP="00F43C78">
      <w:pPr>
        <w:spacing w:after="0" w:line="360" w:lineRule="auto"/>
        <w:rPr>
          <w:rFonts w:ascii="Times New Roman" w:eastAsia="Times New Roman" w:hAnsi="Times New Roman" w:cs="Times New Roman"/>
          <w:sz w:val="24"/>
          <w:szCs w:val="24"/>
        </w:rPr>
      </w:pPr>
    </w:p>
    <w:p w14:paraId="21BDE10F" w14:textId="77777777" w:rsidR="00D15F9D" w:rsidRPr="00D93B48" w:rsidRDefault="00D15F9D" w:rsidP="00D15F9D">
      <w:pPr>
        <w:autoSpaceDE w:val="0"/>
        <w:autoSpaceDN w:val="0"/>
        <w:spacing w:after="0" w:line="360" w:lineRule="auto"/>
        <w:ind w:firstLine="1440"/>
        <w:rPr>
          <w:rFonts w:ascii="Times New Roman" w:hAnsi="Times New Roman" w:cs="Times New Roman"/>
          <w:sz w:val="24"/>
          <w:szCs w:val="24"/>
        </w:rPr>
      </w:pPr>
      <w:r w:rsidRPr="00D93B48">
        <w:rPr>
          <w:rFonts w:ascii="Times New Roman" w:hAnsi="Times New Roman" w:cs="Times New Roman"/>
          <w:sz w:val="24"/>
          <w:szCs w:val="24"/>
        </w:rPr>
        <w:t xml:space="preserve">The moving party may not rely on its own factual assertions but must accept for the purposes of disposition of the preliminary objection, all well-pleaded, material facts of the other party, as well as every inference </w:t>
      </w:r>
      <w:proofErr w:type="gramStart"/>
      <w:r w:rsidRPr="00D93B48">
        <w:rPr>
          <w:rFonts w:ascii="Times New Roman" w:hAnsi="Times New Roman" w:cs="Times New Roman"/>
          <w:sz w:val="24"/>
          <w:szCs w:val="24"/>
        </w:rPr>
        <w:t>fairly deducible</w:t>
      </w:r>
      <w:proofErr w:type="gramEnd"/>
      <w:r w:rsidRPr="00D93B48">
        <w:rPr>
          <w:rFonts w:ascii="Times New Roman" w:hAnsi="Times New Roman" w:cs="Times New Roman"/>
          <w:sz w:val="24"/>
          <w:szCs w:val="24"/>
        </w:rPr>
        <w:t xml:space="preserve"> from those facts.</w:t>
      </w:r>
      <w:r w:rsidRPr="00D93B48">
        <w:rPr>
          <w:rStyle w:val="FootnoteReference"/>
          <w:rFonts w:ascii="Times New Roman" w:hAnsi="Times New Roman" w:cs="Times New Roman"/>
          <w:sz w:val="24"/>
          <w:szCs w:val="24"/>
        </w:rPr>
        <w:footnoteReference w:id="2"/>
      </w:r>
      <w:r w:rsidRPr="00D93B48">
        <w:rPr>
          <w:rFonts w:ascii="Times New Roman" w:hAnsi="Times New Roman" w:cs="Times New Roman"/>
          <w:sz w:val="24"/>
          <w:szCs w:val="24"/>
        </w:rPr>
        <w:t xml:space="preserve">  However, the Commission need not accept as true conclusions of law, unwarranted inferences from facts, argumentative allegations, or expressions of opinion.</w:t>
      </w:r>
      <w:r w:rsidRPr="00D93B48">
        <w:rPr>
          <w:rStyle w:val="FootnoteReference"/>
          <w:rFonts w:ascii="Times New Roman" w:hAnsi="Times New Roman" w:cs="Times New Roman"/>
          <w:sz w:val="24"/>
          <w:szCs w:val="24"/>
        </w:rPr>
        <w:footnoteReference w:id="3"/>
      </w:r>
    </w:p>
    <w:p w14:paraId="729A7548" w14:textId="77777777" w:rsidR="0023527B" w:rsidRPr="00D93B48" w:rsidRDefault="0023527B" w:rsidP="0023527B">
      <w:pPr>
        <w:spacing w:after="0" w:line="360" w:lineRule="auto"/>
        <w:rPr>
          <w:rFonts w:ascii="Times New Roman" w:eastAsia="Times New Roman" w:hAnsi="Times New Roman" w:cs="Times New Roman"/>
          <w:sz w:val="24"/>
          <w:szCs w:val="24"/>
        </w:rPr>
      </w:pPr>
    </w:p>
    <w:p w14:paraId="7FC694D7" w14:textId="77777777" w:rsidR="001716A1" w:rsidRPr="00D93B48" w:rsidRDefault="0023527B" w:rsidP="001716A1">
      <w:pPr>
        <w:spacing w:after="0" w:line="360" w:lineRule="auto"/>
        <w:ind w:firstLine="1440"/>
        <w:rPr>
          <w:rFonts w:ascii="Times New Roman" w:eastAsia="Times New Roman" w:hAnsi="Times New Roman" w:cs="Times New Roman"/>
          <w:sz w:val="24"/>
          <w:szCs w:val="24"/>
        </w:rPr>
      </w:pPr>
      <w:r w:rsidRPr="00D93B48">
        <w:rPr>
          <w:rFonts w:ascii="Times New Roman" w:hAnsi="Times New Roman" w:cs="Times New Roman"/>
          <w:sz w:val="24"/>
          <w:szCs w:val="24"/>
        </w:rPr>
        <w:lastRenderedPageBreak/>
        <w:t>Commission regulations also provide that the content of a formal complaint must include a clear and concise statement of the act or omission being complained of and a clear and concise statement of the relief sought.</w:t>
      </w:r>
      <w:r w:rsidRPr="00D93B48">
        <w:rPr>
          <w:rStyle w:val="FootnoteReference"/>
          <w:rFonts w:ascii="Times New Roman" w:hAnsi="Times New Roman" w:cs="Times New Roman"/>
          <w:sz w:val="24"/>
          <w:szCs w:val="24"/>
        </w:rPr>
        <w:footnoteReference w:id="4"/>
      </w:r>
      <w:r w:rsidRPr="00D93B48">
        <w:rPr>
          <w:rFonts w:ascii="Times New Roman" w:hAnsi="Times New Roman" w:cs="Times New Roman"/>
          <w:sz w:val="24"/>
          <w:szCs w:val="24"/>
        </w:rPr>
        <w:t xml:space="preserve">  The pleading must be sufficiently specific so that the defending party will know how to prepare its defense.</w:t>
      </w:r>
      <w:r w:rsidRPr="00D93B48">
        <w:rPr>
          <w:rStyle w:val="FootnoteReference"/>
          <w:rFonts w:ascii="Times New Roman" w:hAnsi="Times New Roman" w:cs="Times New Roman"/>
          <w:sz w:val="24"/>
          <w:szCs w:val="24"/>
        </w:rPr>
        <w:footnoteReference w:id="5"/>
      </w:r>
    </w:p>
    <w:p w14:paraId="0A6BDB61" w14:textId="77777777" w:rsidR="001716A1" w:rsidRPr="00D93B48" w:rsidRDefault="001716A1" w:rsidP="001716A1">
      <w:pPr>
        <w:spacing w:after="0" w:line="360" w:lineRule="auto"/>
        <w:ind w:firstLine="1440"/>
        <w:rPr>
          <w:rFonts w:ascii="Times New Roman" w:eastAsia="Times New Roman" w:hAnsi="Times New Roman" w:cs="Times New Roman"/>
          <w:sz w:val="24"/>
          <w:szCs w:val="24"/>
        </w:rPr>
      </w:pPr>
    </w:p>
    <w:p w14:paraId="346D2BC1" w14:textId="75F49D7A" w:rsidR="00052144" w:rsidRPr="00D93B48" w:rsidRDefault="00052144" w:rsidP="000C57F2">
      <w:pPr>
        <w:spacing w:after="0" w:line="360" w:lineRule="auto"/>
        <w:ind w:firstLine="1440"/>
        <w:rPr>
          <w:rFonts w:ascii="Times New Roman" w:eastAsia="Times New Roman" w:hAnsi="Times New Roman" w:cs="Times New Roman"/>
          <w:spacing w:val="-3"/>
          <w:sz w:val="24"/>
          <w:szCs w:val="24"/>
        </w:rPr>
      </w:pPr>
      <w:r w:rsidRPr="00D93B48">
        <w:rPr>
          <w:rFonts w:ascii="Times New Roman" w:hAnsi="Times New Roman" w:cs="Times New Roman"/>
          <w:sz w:val="24"/>
          <w:szCs w:val="24"/>
        </w:rPr>
        <w:t>In the original Complaint</w:t>
      </w:r>
      <w:r w:rsidR="0023527B" w:rsidRPr="00D93B48">
        <w:rPr>
          <w:rFonts w:ascii="Times New Roman" w:hAnsi="Times New Roman" w:cs="Times New Roman"/>
          <w:sz w:val="24"/>
          <w:szCs w:val="24"/>
        </w:rPr>
        <w:t xml:space="preserve">, Mr. Coe indicated that PGW </w:t>
      </w:r>
      <w:r w:rsidR="00EF0CC7" w:rsidRPr="00D93B48">
        <w:rPr>
          <w:rFonts w:ascii="Times New Roman" w:hAnsi="Times New Roman" w:cs="Times New Roman"/>
          <w:sz w:val="24"/>
          <w:szCs w:val="24"/>
        </w:rPr>
        <w:t xml:space="preserve">had </w:t>
      </w:r>
      <w:r w:rsidR="0023527B" w:rsidRPr="00D93B48">
        <w:rPr>
          <w:rFonts w:ascii="Times New Roman" w:hAnsi="Times New Roman" w:cs="Times New Roman"/>
          <w:sz w:val="24"/>
          <w:szCs w:val="24"/>
        </w:rPr>
        <w:t>terminate</w:t>
      </w:r>
      <w:r w:rsidR="00EF0CC7" w:rsidRPr="00D93B48">
        <w:rPr>
          <w:rFonts w:ascii="Times New Roman" w:hAnsi="Times New Roman" w:cs="Times New Roman"/>
          <w:sz w:val="24"/>
          <w:szCs w:val="24"/>
        </w:rPr>
        <w:t>d</w:t>
      </w:r>
      <w:r w:rsidR="0023527B" w:rsidRPr="00D93B48">
        <w:rPr>
          <w:rFonts w:ascii="Times New Roman" w:hAnsi="Times New Roman" w:cs="Times New Roman"/>
          <w:sz w:val="24"/>
          <w:szCs w:val="24"/>
        </w:rPr>
        <w:t xml:space="preserve"> his </w:t>
      </w:r>
      <w:r w:rsidR="00EF0CC7" w:rsidRPr="00D93B48">
        <w:rPr>
          <w:rFonts w:ascii="Times New Roman" w:hAnsi="Times New Roman" w:cs="Times New Roman"/>
          <w:sz w:val="24"/>
          <w:szCs w:val="24"/>
        </w:rPr>
        <w:t xml:space="preserve">gas </w:t>
      </w:r>
      <w:r w:rsidR="0023527B" w:rsidRPr="00D93B48">
        <w:rPr>
          <w:rFonts w:ascii="Times New Roman" w:hAnsi="Times New Roman" w:cs="Times New Roman"/>
          <w:sz w:val="24"/>
          <w:szCs w:val="24"/>
        </w:rPr>
        <w:t xml:space="preserve">service.  </w:t>
      </w:r>
      <w:r w:rsidR="001716A1" w:rsidRPr="00D93B48">
        <w:rPr>
          <w:rFonts w:ascii="Times New Roman" w:hAnsi="Times New Roman" w:cs="Times New Roman"/>
          <w:sz w:val="24"/>
          <w:szCs w:val="24"/>
        </w:rPr>
        <w:t xml:space="preserve">As relief, Mr. Coe sought the Commission’s assistance in ordering </w:t>
      </w:r>
      <w:r w:rsidRPr="00D93B48">
        <w:rPr>
          <w:rFonts w:ascii="Times New Roman" w:eastAsia="Times New Roman" w:hAnsi="Times New Roman" w:cs="Times New Roman"/>
          <w:spacing w:val="-3"/>
          <w:sz w:val="24"/>
          <w:szCs w:val="24"/>
        </w:rPr>
        <w:t xml:space="preserve">PGW to restore service to </w:t>
      </w:r>
      <w:r w:rsidR="001716A1" w:rsidRPr="00D93B48">
        <w:rPr>
          <w:rFonts w:ascii="Times New Roman" w:eastAsia="Times New Roman" w:hAnsi="Times New Roman" w:cs="Times New Roman"/>
          <w:spacing w:val="-3"/>
          <w:sz w:val="24"/>
          <w:szCs w:val="24"/>
        </w:rPr>
        <w:t>his</w:t>
      </w:r>
      <w:r w:rsidRPr="00D93B48">
        <w:rPr>
          <w:rFonts w:ascii="Times New Roman" w:eastAsia="Times New Roman" w:hAnsi="Times New Roman" w:cs="Times New Roman"/>
          <w:spacing w:val="-3"/>
          <w:sz w:val="24"/>
          <w:szCs w:val="24"/>
        </w:rPr>
        <w:t xml:space="preserve"> home. </w:t>
      </w:r>
      <w:r w:rsidR="001716A1" w:rsidRPr="00D93B48">
        <w:rPr>
          <w:rFonts w:ascii="Times New Roman" w:eastAsia="Times New Roman" w:hAnsi="Times New Roman" w:cs="Times New Roman"/>
          <w:spacing w:val="-3"/>
          <w:sz w:val="24"/>
          <w:szCs w:val="24"/>
        </w:rPr>
        <w:t xml:space="preserve"> </w:t>
      </w:r>
      <w:r w:rsidRPr="00D93B48">
        <w:rPr>
          <w:rFonts w:ascii="Times New Roman" w:eastAsia="Times New Roman" w:hAnsi="Times New Roman" w:cs="Times New Roman"/>
          <w:spacing w:val="-3"/>
          <w:sz w:val="24"/>
          <w:szCs w:val="24"/>
        </w:rPr>
        <w:t xml:space="preserve">In addition, </w:t>
      </w:r>
      <w:r w:rsidR="006F4BE8" w:rsidRPr="00D93B48">
        <w:rPr>
          <w:rFonts w:ascii="Times New Roman" w:eastAsia="Times New Roman" w:hAnsi="Times New Roman" w:cs="Times New Roman"/>
          <w:spacing w:val="-3"/>
          <w:sz w:val="24"/>
          <w:szCs w:val="24"/>
        </w:rPr>
        <w:t>he would like to obtain</w:t>
      </w:r>
      <w:r w:rsidRPr="00D93B48">
        <w:rPr>
          <w:rFonts w:ascii="Times New Roman" w:eastAsia="Times New Roman" w:hAnsi="Times New Roman" w:cs="Times New Roman"/>
          <w:spacing w:val="-3"/>
          <w:sz w:val="24"/>
          <w:szCs w:val="24"/>
        </w:rPr>
        <w:t xml:space="preserve"> </w:t>
      </w:r>
      <w:r w:rsidR="000C57F2" w:rsidRPr="00D93B48">
        <w:rPr>
          <w:rFonts w:ascii="Times New Roman" w:eastAsia="Times New Roman" w:hAnsi="Times New Roman" w:cs="Times New Roman"/>
          <w:spacing w:val="-3"/>
          <w:sz w:val="24"/>
          <w:szCs w:val="24"/>
        </w:rPr>
        <w:t>“</w:t>
      </w:r>
      <w:r w:rsidRPr="00D93B48">
        <w:rPr>
          <w:rFonts w:ascii="Times New Roman" w:eastAsia="Times New Roman" w:hAnsi="Times New Roman" w:cs="Times New Roman"/>
          <w:spacing w:val="-3"/>
          <w:sz w:val="24"/>
          <w:szCs w:val="24"/>
        </w:rPr>
        <w:t xml:space="preserve">the location and contact information for the Transfer Agent/Indenture Trustee of the company in order to sell the short-term securities in which </w:t>
      </w:r>
      <w:r w:rsidR="00227B01" w:rsidRPr="00D93B48">
        <w:rPr>
          <w:rFonts w:ascii="Times New Roman" w:eastAsia="Times New Roman" w:hAnsi="Times New Roman" w:cs="Times New Roman"/>
          <w:spacing w:val="-3"/>
          <w:sz w:val="24"/>
          <w:szCs w:val="24"/>
        </w:rPr>
        <w:t xml:space="preserve">he believes he has </w:t>
      </w:r>
      <w:r w:rsidRPr="00D93B48">
        <w:rPr>
          <w:rFonts w:ascii="Times New Roman" w:eastAsia="Times New Roman" w:hAnsi="Times New Roman" w:cs="Times New Roman"/>
          <w:spacing w:val="-3"/>
          <w:sz w:val="24"/>
          <w:szCs w:val="24"/>
        </w:rPr>
        <w:t>an equitable security interest in</w:t>
      </w:r>
      <w:r w:rsidR="00B324C6" w:rsidRPr="00D93B48">
        <w:rPr>
          <w:rFonts w:ascii="Times New Roman" w:eastAsia="Times New Roman" w:hAnsi="Times New Roman" w:cs="Times New Roman"/>
          <w:spacing w:val="-3"/>
          <w:sz w:val="24"/>
          <w:szCs w:val="24"/>
        </w:rPr>
        <w:t xml:space="preserve">. in the alternative, Mr. Coe would like for </w:t>
      </w:r>
      <w:r w:rsidRPr="00D93B48">
        <w:rPr>
          <w:rFonts w:ascii="Times New Roman" w:eastAsia="Times New Roman" w:hAnsi="Times New Roman" w:cs="Times New Roman"/>
          <w:spacing w:val="-3"/>
          <w:sz w:val="24"/>
          <w:szCs w:val="24"/>
        </w:rPr>
        <w:t>PGW to directly order the Transfer of the book-entry securities to</w:t>
      </w:r>
      <w:r w:rsidR="00B324C6" w:rsidRPr="00D93B48">
        <w:rPr>
          <w:rFonts w:ascii="Times New Roman" w:eastAsia="Times New Roman" w:hAnsi="Times New Roman" w:cs="Times New Roman"/>
          <w:spacing w:val="-3"/>
          <w:sz w:val="24"/>
          <w:szCs w:val="24"/>
        </w:rPr>
        <w:t xml:space="preserve"> his</w:t>
      </w:r>
      <w:r w:rsidRPr="00D93B48">
        <w:rPr>
          <w:rFonts w:ascii="Times New Roman" w:eastAsia="Times New Roman" w:hAnsi="Times New Roman" w:cs="Times New Roman"/>
          <w:spacing w:val="-3"/>
          <w:sz w:val="24"/>
          <w:szCs w:val="24"/>
        </w:rPr>
        <w:t xml:space="preserve"> </w:t>
      </w:r>
      <w:r w:rsidR="00B324C6" w:rsidRPr="00D93B48">
        <w:rPr>
          <w:rFonts w:ascii="Times New Roman" w:eastAsia="Times New Roman" w:hAnsi="Times New Roman" w:cs="Times New Roman"/>
          <w:spacing w:val="-3"/>
          <w:sz w:val="24"/>
          <w:szCs w:val="24"/>
        </w:rPr>
        <w:t>“</w:t>
      </w:r>
      <w:r w:rsidRPr="00D93B48">
        <w:rPr>
          <w:rFonts w:ascii="Times New Roman" w:eastAsia="Times New Roman" w:hAnsi="Times New Roman" w:cs="Times New Roman"/>
          <w:spacing w:val="-3"/>
          <w:sz w:val="24"/>
          <w:szCs w:val="24"/>
        </w:rPr>
        <w:t>Treasury Direct Account where they will be converted and issued a new CUSIP for trading purposes.</w:t>
      </w:r>
      <w:r w:rsidR="00B324C6" w:rsidRPr="00D93B48">
        <w:rPr>
          <w:rFonts w:ascii="Times New Roman" w:eastAsia="Times New Roman" w:hAnsi="Times New Roman" w:cs="Times New Roman"/>
          <w:spacing w:val="-3"/>
          <w:sz w:val="24"/>
          <w:szCs w:val="24"/>
        </w:rPr>
        <w:t>”</w:t>
      </w:r>
      <w:r w:rsidRPr="00D93B48">
        <w:rPr>
          <w:rFonts w:ascii="Times New Roman" w:eastAsia="Times New Roman" w:hAnsi="Times New Roman" w:cs="Times New Roman"/>
          <w:spacing w:val="-3"/>
          <w:sz w:val="24"/>
          <w:szCs w:val="24"/>
        </w:rPr>
        <w:t xml:space="preserve"> </w:t>
      </w:r>
      <w:r w:rsidR="000C57F2" w:rsidRPr="00D93B48">
        <w:rPr>
          <w:rFonts w:ascii="Times New Roman" w:eastAsia="Times New Roman" w:hAnsi="Times New Roman" w:cs="Times New Roman"/>
          <w:spacing w:val="-3"/>
          <w:sz w:val="24"/>
          <w:szCs w:val="24"/>
        </w:rPr>
        <w:t>Complaint ¶ 5.</w:t>
      </w:r>
    </w:p>
    <w:p w14:paraId="5DF20C9A" w14:textId="77777777" w:rsidR="000C57F2" w:rsidRPr="00D93B48" w:rsidRDefault="000C57F2" w:rsidP="000C57F2">
      <w:pPr>
        <w:spacing w:after="0" w:line="360" w:lineRule="auto"/>
        <w:ind w:firstLine="1440"/>
        <w:rPr>
          <w:rFonts w:ascii="Times New Roman" w:eastAsia="Times New Roman" w:hAnsi="Times New Roman" w:cs="Times New Roman"/>
          <w:spacing w:val="-3"/>
          <w:sz w:val="24"/>
          <w:szCs w:val="24"/>
        </w:rPr>
      </w:pPr>
    </w:p>
    <w:p w14:paraId="4A0D75C3" w14:textId="76F40CD7" w:rsidR="003D4162" w:rsidRPr="00D93B48" w:rsidRDefault="00201C5A" w:rsidP="00D14702">
      <w:pPr>
        <w:spacing w:after="0" w:line="360" w:lineRule="auto"/>
        <w:ind w:firstLine="1440"/>
        <w:rPr>
          <w:rFonts w:ascii="Times New Roman" w:eastAsia="Times New Roman" w:hAnsi="Times New Roman" w:cs="Times New Roman"/>
          <w:sz w:val="24"/>
          <w:szCs w:val="24"/>
        </w:rPr>
      </w:pPr>
      <w:r w:rsidRPr="00D93B48">
        <w:rPr>
          <w:rFonts w:ascii="Times New Roman" w:eastAsia="Times New Roman" w:hAnsi="Times New Roman" w:cs="Times New Roman"/>
          <w:spacing w:val="-3"/>
          <w:sz w:val="24"/>
          <w:szCs w:val="24"/>
        </w:rPr>
        <w:t>In the Amended Complaint</w:t>
      </w:r>
      <w:r w:rsidR="00FA334F" w:rsidRPr="00D93B48">
        <w:rPr>
          <w:rFonts w:ascii="Times New Roman" w:eastAsia="Times New Roman" w:hAnsi="Times New Roman" w:cs="Times New Roman"/>
          <w:spacing w:val="-3"/>
          <w:sz w:val="24"/>
          <w:szCs w:val="24"/>
        </w:rPr>
        <w:t xml:space="preserve"> -- </w:t>
      </w:r>
      <w:r w:rsidRPr="00D93B48">
        <w:rPr>
          <w:rFonts w:ascii="Times New Roman" w:eastAsia="Times New Roman" w:hAnsi="Times New Roman" w:cs="Times New Roman"/>
          <w:spacing w:val="-3"/>
          <w:sz w:val="24"/>
          <w:szCs w:val="24"/>
        </w:rPr>
        <w:t xml:space="preserve">which </w:t>
      </w:r>
      <w:r w:rsidR="0034251F" w:rsidRPr="00D93B48">
        <w:rPr>
          <w:rFonts w:ascii="Times New Roman" w:eastAsia="Times New Roman" w:hAnsi="Times New Roman" w:cs="Times New Roman"/>
          <w:spacing w:val="-3"/>
          <w:sz w:val="24"/>
          <w:szCs w:val="24"/>
        </w:rPr>
        <w:t>followed the filing of PGW’s November 20, 2023</w:t>
      </w:r>
      <w:r w:rsidR="006E4730" w:rsidRPr="00D93B48">
        <w:rPr>
          <w:rFonts w:ascii="Times New Roman" w:eastAsia="Times New Roman" w:hAnsi="Times New Roman" w:cs="Times New Roman"/>
          <w:spacing w:val="-3"/>
          <w:sz w:val="24"/>
          <w:szCs w:val="24"/>
        </w:rPr>
        <w:t>,</w:t>
      </w:r>
      <w:r w:rsidR="0034251F" w:rsidRPr="00D93B48">
        <w:rPr>
          <w:rFonts w:ascii="Times New Roman" w:eastAsia="Times New Roman" w:hAnsi="Times New Roman" w:cs="Times New Roman"/>
          <w:spacing w:val="-3"/>
          <w:sz w:val="24"/>
          <w:szCs w:val="24"/>
        </w:rPr>
        <w:t xml:space="preserve"> Preliminary Objections that sought</w:t>
      </w:r>
      <w:r w:rsidR="00D14702" w:rsidRPr="00D93B48">
        <w:rPr>
          <w:rFonts w:ascii="Times New Roman" w:eastAsia="Times New Roman" w:hAnsi="Times New Roman" w:cs="Times New Roman"/>
          <w:spacing w:val="-3"/>
          <w:sz w:val="24"/>
          <w:szCs w:val="24"/>
        </w:rPr>
        <w:t xml:space="preserve"> the dismissal of the original Complaint because th</w:t>
      </w:r>
      <w:r w:rsidR="00D14702" w:rsidRPr="00D93B48">
        <w:rPr>
          <w:rFonts w:ascii="Times New Roman" w:eastAsia="Times New Roman" w:hAnsi="Times New Roman" w:cs="Times New Roman"/>
          <w:sz w:val="24"/>
          <w:szCs w:val="24"/>
        </w:rPr>
        <w:t>e Commission lacks jurisdiction over claims based on alleged violations of ordinances and resolutions of the City as well as 31 CFR 328.6</w:t>
      </w:r>
      <w:r w:rsidR="00FA334F" w:rsidRPr="00D93B48">
        <w:rPr>
          <w:rFonts w:ascii="Times New Roman" w:eastAsia="Times New Roman" w:hAnsi="Times New Roman" w:cs="Times New Roman"/>
          <w:sz w:val="24"/>
          <w:szCs w:val="24"/>
        </w:rPr>
        <w:t xml:space="preserve"> </w:t>
      </w:r>
      <w:r w:rsidR="006E4730" w:rsidRPr="00D93B48">
        <w:rPr>
          <w:rFonts w:ascii="Times New Roman" w:eastAsia="Times New Roman" w:hAnsi="Times New Roman" w:cs="Times New Roman"/>
          <w:sz w:val="24"/>
          <w:szCs w:val="24"/>
        </w:rPr>
        <w:t>–</w:t>
      </w:r>
      <w:r w:rsidR="00FA334F" w:rsidRPr="00D93B48">
        <w:rPr>
          <w:rFonts w:ascii="Times New Roman" w:eastAsia="Times New Roman" w:hAnsi="Times New Roman" w:cs="Times New Roman"/>
          <w:sz w:val="24"/>
          <w:szCs w:val="24"/>
        </w:rPr>
        <w:t xml:space="preserve"> </w:t>
      </w:r>
      <w:r w:rsidR="006E4730" w:rsidRPr="00D93B48">
        <w:rPr>
          <w:rFonts w:ascii="Times New Roman" w:eastAsia="Times New Roman" w:hAnsi="Times New Roman" w:cs="Times New Roman"/>
          <w:sz w:val="24"/>
          <w:szCs w:val="24"/>
        </w:rPr>
        <w:t>Mr. Coe</w:t>
      </w:r>
      <w:r w:rsidR="00D51759" w:rsidRPr="00D93B48">
        <w:rPr>
          <w:rFonts w:ascii="Times New Roman" w:eastAsia="Times New Roman" w:hAnsi="Times New Roman" w:cs="Times New Roman"/>
          <w:sz w:val="24"/>
          <w:szCs w:val="24"/>
        </w:rPr>
        <w:t xml:space="preserve"> </w:t>
      </w:r>
      <w:r w:rsidR="0048636B" w:rsidRPr="00D93B48">
        <w:rPr>
          <w:rFonts w:ascii="Times New Roman" w:eastAsia="Times New Roman" w:hAnsi="Times New Roman" w:cs="Times New Roman"/>
          <w:sz w:val="24"/>
          <w:szCs w:val="24"/>
        </w:rPr>
        <w:t>re</w:t>
      </w:r>
      <w:r w:rsidR="00EF0CC7" w:rsidRPr="00D93B48">
        <w:rPr>
          <w:rFonts w:ascii="Times New Roman" w:eastAsia="Times New Roman" w:hAnsi="Times New Roman" w:cs="Times New Roman"/>
          <w:sz w:val="24"/>
          <w:szCs w:val="24"/>
        </w:rPr>
        <w:t xml:space="preserve">iterated his allegations </w:t>
      </w:r>
      <w:r w:rsidR="00AC6CE8" w:rsidRPr="00D93B48">
        <w:rPr>
          <w:rFonts w:ascii="Times New Roman" w:eastAsia="Times New Roman" w:hAnsi="Times New Roman" w:cs="Times New Roman"/>
          <w:sz w:val="24"/>
          <w:szCs w:val="24"/>
        </w:rPr>
        <w:t xml:space="preserve">regarding service termination.  Additionally, he </w:t>
      </w:r>
      <w:r w:rsidR="00D51759" w:rsidRPr="00D93B48">
        <w:rPr>
          <w:rFonts w:ascii="Times New Roman" w:eastAsia="Times New Roman" w:hAnsi="Times New Roman" w:cs="Times New Roman"/>
          <w:sz w:val="24"/>
          <w:szCs w:val="24"/>
        </w:rPr>
        <w:t>alleged that PGW</w:t>
      </w:r>
      <w:r w:rsidR="006E4730" w:rsidRPr="00D93B48">
        <w:rPr>
          <w:rFonts w:ascii="Times New Roman" w:eastAsia="Times New Roman" w:hAnsi="Times New Roman" w:cs="Times New Roman"/>
          <w:sz w:val="24"/>
          <w:szCs w:val="24"/>
        </w:rPr>
        <w:t xml:space="preserve"> refuse</w:t>
      </w:r>
      <w:r w:rsidR="00D51759" w:rsidRPr="00D93B48">
        <w:rPr>
          <w:rFonts w:ascii="Times New Roman" w:eastAsia="Times New Roman" w:hAnsi="Times New Roman" w:cs="Times New Roman"/>
          <w:sz w:val="24"/>
          <w:szCs w:val="24"/>
        </w:rPr>
        <w:t>s</w:t>
      </w:r>
      <w:r w:rsidR="006E4730" w:rsidRPr="00D93B48">
        <w:rPr>
          <w:rFonts w:ascii="Times New Roman" w:eastAsia="Times New Roman" w:hAnsi="Times New Roman" w:cs="Times New Roman"/>
          <w:sz w:val="24"/>
          <w:szCs w:val="24"/>
        </w:rPr>
        <w:t xml:space="preserve"> </w:t>
      </w:r>
      <w:r w:rsidR="00D51759" w:rsidRPr="00D93B48">
        <w:rPr>
          <w:rFonts w:ascii="Times New Roman" w:eastAsia="Times New Roman" w:hAnsi="Times New Roman" w:cs="Times New Roman"/>
          <w:sz w:val="24"/>
          <w:szCs w:val="24"/>
        </w:rPr>
        <w:t>“</w:t>
      </w:r>
      <w:r w:rsidR="006E4730" w:rsidRPr="00D93B48">
        <w:rPr>
          <w:rFonts w:ascii="Times New Roman" w:eastAsia="Times New Roman" w:hAnsi="Times New Roman" w:cs="Times New Roman"/>
          <w:sz w:val="24"/>
          <w:szCs w:val="24"/>
        </w:rPr>
        <w:t xml:space="preserve">to redeem the municipal book-entry securities issued to </w:t>
      </w:r>
      <w:r w:rsidR="00D51759" w:rsidRPr="00D93B48">
        <w:rPr>
          <w:rFonts w:ascii="Times New Roman" w:eastAsia="Times New Roman" w:hAnsi="Times New Roman" w:cs="Times New Roman"/>
          <w:sz w:val="24"/>
          <w:szCs w:val="24"/>
        </w:rPr>
        <w:t>me</w:t>
      </w:r>
      <w:r w:rsidR="006E4730" w:rsidRPr="00D93B48">
        <w:rPr>
          <w:rFonts w:ascii="Times New Roman" w:eastAsia="Times New Roman" w:hAnsi="Times New Roman" w:cs="Times New Roman"/>
          <w:sz w:val="24"/>
          <w:szCs w:val="24"/>
        </w:rPr>
        <w:t xml:space="preserve"> for the benefit of me as Beneficial Owner of the proceeds from the sale at trans and transfer of the municipal bonds better known as notes in the Primary and Secondary markets</w:t>
      </w:r>
      <w:r w:rsidR="00383470" w:rsidRPr="00D93B48">
        <w:rPr>
          <w:rFonts w:ascii="Times New Roman" w:eastAsia="Times New Roman" w:hAnsi="Times New Roman" w:cs="Times New Roman"/>
          <w:sz w:val="24"/>
          <w:szCs w:val="24"/>
        </w:rPr>
        <w:t>.</w:t>
      </w:r>
      <w:r w:rsidR="00D51759" w:rsidRPr="00D93B48">
        <w:rPr>
          <w:rFonts w:ascii="Times New Roman" w:eastAsia="Times New Roman" w:hAnsi="Times New Roman" w:cs="Times New Roman"/>
          <w:sz w:val="24"/>
          <w:szCs w:val="24"/>
        </w:rPr>
        <w:t>”</w:t>
      </w:r>
      <w:r w:rsidR="00383470" w:rsidRPr="00D93B48">
        <w:rPr>
          <w:rFonts w:ascii="Times New Roman" w:eastAsia="Times New Roman" w:hAnsi="Times New Roman" w:cs="Times New Roman"/>
          <w:sz w:val="24"/>
          <w:szCs w:val="24"/>
        </w:rPr>
        <w:t xml:space="preserve">  As relief, </w:t>
      </w:r>
      <w:r w:rsidR="00C44CCF" w:rsidRPr="00D93B48">
        <w:rPr>
          <w:rFonts w:ascii="Times New Roman" w:eastAsia="Times New Roman" w:hAnsi="Times New Roman" w:cs="Times New Roman"/>
          <w:sz w:val="24"/>
          <w:szCs w:val="24"/>
        </w:rPr>
        <w:t>Mr. Coe</w:t>
      </w:r>
      <w:r w:rsidR="007A47EA" w:rsidRPr="00D93B48">
        <w:rPr>
          <w:rFonts w:ascii="Times New Roman" w:eastAsia="Times New Roman" w:hAnsi="Times New Roman" w:cs="Times New Roman"/>
          <w:sz w:val="24"/>
          <w:szCs w:val="24"/>
        </w:rPr>
        <w:t xml:space="preserve"> </w:t>
      </w:r>
      <w:r w:rsidR="004A7537" w:rsidRPr="00D93B48">
        <w:rPr>
          <w:rFonts w:ascii="Times New Roman" w:eastAsia="Times New Roman" w:hAnsi="Times New Roman" w:cs="Times New Roman"/>
          <w:sz w:val="24"/>
          <w:szCs w:val="24"/>
        </w:rPr>
        <w:t>reiterates his earlier position</w:t>
      </w:r>
      <w:r w:rsidR="00F73B52" w:rsidRPr="00D93B48">
        <w:rPr>
          <w:rFonts w:ascii="Times New Roman" w:eastAsia="Times New Roman" w:hAnsi="Times New Roman" w:cs="Times New Roman"/>
          <w:sz w:val="24"/>
          <w:szCs w:val="24"/>
        </w:rPr>
        <w:t xml:space="preserve">: </w:t>
      </w:r>
    </w:p>
    <w:p w14:paraId="17CDE339" w14:textId="77777777" w:rsidR="003D4162" w:rsidRPr="00D93B48" w:rsidRDefault="003D4162" w:rsidP="003D4162">
      <w:pPr>
        <w:spacing w:after="0" w:line="360" w:lineRule="auto"/>
        <w:rPr>
          <w:rFonts w:ascii="Times New Roman" w:eastAsia="Times New Roman" w:hAnsi="Times New Roman" w:cs="Times New Roman"/>
          <w:sz w:val="24"/>
          <w:szCs w:val="24"/>
        </w:rPr>
      </w:pPr>
    </w:p>
    <w:p w14:paraId="4812C449" w14:textId="016B98B4" w:rsidR="0023527B" w:rsidRPr="00D93B48" w:rsidRDefault="00741C46" w:rsidP="003D4162">
      <w:pPr>
        <w:spacing w:after="0" w:line="240" w:lineRule="auto"/>
        <w:ind w:left="1440" w:right="1440"/>
        <w:rPr>
          <w:rFonts w:ascii="Times New Roman" w:eastAsia="Times New Roman" w:hAnsi="Times New Roman" w:cs="Times New Roman"/>
          <w:spacing w:val="-3"/>
          <w:sz w:val="24"/>
          <w:szCs w:val="24"/>
        </w:rPr>
      </w:pPr>
      <w:r w:rsidRPr="00D93B48">
        <w:rPr>
          <w:rFonts w:ascii="Times New Roman" w:eastAsia="Times New Roman" w:hAnsi="Times New Roman" w:cs="Times New Roman"/>
          <w:sz w:val="24"/>
          <w:szCs w:val="24"/>
        </w:rPr>
        <w:t xml:space="preserve">PGW to release all proceeds due to me as a beneficial owner.  The amounts of the proceeds can be found on the monthly statements of account held under the account number issued with this complaint in addition to any securities violations or acts of securities fraud that may be found in an investigation post the decision made on the already established balance due from the coupons of the statements of account.  (Investigation may also be conducted by the MSRB-Municipal Securities Rulemaking Board.)  </w:t>
      </w:r>
    </w:p>
    <w:p w14:paraId="2816C200" w14:textId="77777777" w:rsidR="0023527B" w:rsidRPr="00D93B48" w:rsidRDefault="0023527B" w:rsidP="0023527B">
      <w:pPr>
        <w:autoSpaceDE w:val="0"/>
        <w:autoSpaceDN w:val="0"/>
        <w:spacing w:after="0" w:line="360" w:lineRule="auto"/>
        <w:rPr>
          <w:rFonts w:ascii="Times New Roman" w:eastAsia="SimSun" w:hAnsi="Times New Roman" w:cs="Times New Roman"/>
          <w:sz w:val="24"/>
          <w:szCs w:val="24"/>
        </w:rPr>
      </w:pPr>
      <w:r w:rsidRPr="00D93B48">
        <w:rPr>
          <w:rFonts w:ascii="Times New Roman" w:hAnsi="Times New Roman" w:cs="Times New Roman"/>
          <w:sz w:val="24"/>
          <w:szCs w:val="24"/>
        </w:rPr>
        <w:lastRenderedPageBreak/>
        <w:tab/>
      </w:r>
      <w:r w:rsidRPr="00D93B48">
        <w:rPr>
          <w:rFonts w:ascii="Times New Roman" w:hAnsi="Times New Roman" w:cs="Times New Roman"/>
          <w:sz w:val="24"/>
          <w:szCs w:val="24"/>
        </w:rPr>
        <w:tab/>
        <w:t>The Commission, as a creation of the General Assembly, only has the powers and authority granted to it by the General Assembly and contained in the Public Utility Code.</w:t>
      </w:r>
      <w:r w:rsidRPr="00D93B48">
        <w:rPr>
          <w:rStyle w:val="FootnoteReference"/>
          <w:rFonts w:ascii="Times New Roman" w:hAnsi="Times New Roman" w:cs="Times New Roman"/>
          <w:sz w:val="24"/>
          <w:szCs w:val="24"/>
        </w:rPr>
        <w:footnoteReference w:id="6"/>
      </w:r>
      <w:r w:rsidRPr="00D93B48">
        <w:rPr>
          <w:rFonts w:ascii="Times New Roman" w:hAnsi="Times New Roman" w:cs="Times New Roman"/>
          <w:sz w:val="24"/>
          <w:szCs w:val="24"/>
        </w:rPr>
        <w:t xml:space="preserve">  The Commission must act within and cannot exceed, its jurisdiction.</w:t>
      </w:r>
      <w:r w:rsidRPr="00D93B48">
        <w:rPr>
          <w:rStyle w:val="FootnoteReference"/>
          <w:rFonts w:ascii="Times New Roman" w:hAnsi="Times New Roman" w:cs="Times New Roman"/>
          <w:sz w:val="24"/>
          <w:szCs w:val="24"/>
        </w:rPr>
        <w:footnoteReference w:id="7"/>
      </w:r>
      <w:r w:rsidRPr="00D93B48">
        <w:rPr>
          <w:rFonts w:ascii="Times New Roman" w:hAnsi="Times New Roman" w:cs="Times New Roman"/>
          <w:sz w:val="24"/>
          <w:szCs w:val="24"/>
        </w:rPr>
        <w:t xml:space="preserve">  Jurisdiction may not be conferred by the parties where none exists.</w:t>
      </w:r>
      <w:r w:rsidRPr="00D93B48">
        <w:rPr>
          <w:rStyle w:val="FootnoteReference"/>
          <w:rFonts w:ascii="Times New Roman" w:hAnsi="Times New Roman" w:cs="Times New Roman"/>
          <w:sz w:val="24"/>
          <w:szCs w:val="24"/>
        </w:rPr>
        <w:footnoteReference w:id="8"/>
      </w:r>
      <w:r w:rsidRPr="00D93B48">
        <w:rPr>
          <w:rFonts w:ascii="Times New Roman" w:hAnsi="Times New Roman" w:cs="Times New Roman"/>
          <w:sz w:val="24"/>
          <w:szCs w:val="24"/>
        </w:rPr>
        <w:t xml:space="preserve">  </w:t>
      </w:r>
      <w:r w:rsidRPr="00D93B48">
        <w:rPr>
          <w:rFonts w:ascii="Times New Roman" w:eastAsia="SimSun" w:hAnsi="Times New Roman" w:cs="Times New Roman"/>
          <w:sz w:val="24"/>
          <w:szCs w:val="24"/>
        </w:rPr>
        <w:t>It is well established under Pennsylvania law that the enforcement powers of the Commission do not include the power to award money damages.</w:t>
      </w:r>
      <w:r w:rsidRPr="00D93B48">
        <w:rPr>
          <w:rStyle w:val="FootnoteReference"/>
          <w:rFonts w:ascii="Times New Roman" w:eastAsia="SimSun" w:hAnsi="Times New Roman" w:cs="Times New Roman"/>
          <w:sz w:val="24"/>
          <w:szCs w:val="24"/>
        </w:rPr>
        <w:footnoteReference w:id="9"/>
      </w:r>
      <w:r w:rsidRPr="00D93B48">
        <w:rPr>
          <w:rFonts w:ascii="Times New Roman" w:eastAsia="SimSun" w:hAnsi="Times New Roman" w:cs="Times New Roman"/>
          <w:sz w:val="24"/>
          <w:szCs w:val="24"/>
        </w:rPr>
        <w:t xml:space="preserve">  Therefore, PGW’s Preliminary Objection is granted such that Complainant’s request for relief in the form of money damages is stricken from the Complaint.  </w:t>
      </w:r>
    </w:p>
    <w:p w14:paraId="0C1D49E1" w14:textId="77777777" w:rsidR="0023527B" w:rsidRPr="00D93B48" w:rsidRDefault="0023527B" w:rsidP="0023527B">
      <w:pPr>
        <w:autoSpaceDE w:val="0"/>
        <w:autoSpaceDN w:val="0"/>
        <w:spacing w:after="0" w:line="360" w:lineRule="auto"/>
        <w:rPr>
          <w:rFonts w:ascii="Times New Roman" w:eastAsia="SimSun" w:hAnsi="Times New Roman" w:cs="Times New Roman"/>
          <w:sz w:val="24"/>
          <w:szCs w:val="24"/>
        </w:rPr>
      </w:pPr>
    </w:p>
    <w:p w14:paraId="5AA7E1FA" w14:textId="446F2ACE" w:rsidR="0023527B" w:rsidRPr="00D93B48" w:rsidRDefault="0023527B" w:rsidP="0023527B">
      <w:pPr>
        <w:pStyle w:val="NormalWeb"/>
        <w:shd w:val="clear" w:color="auto" w:fill="FFFFFF"/>
        <w:spacing w:before="0" w:beforeAutospacing="0" w:after="0" w:afterAutospacing="0" w:line="360" w:lineRule="auto"/>
      </w:pPr>
      <w:r w:rsidRPr="00D93B48">
        <w:rPr>
          <w:rFonts w:eastAsia="SimSun"/>
        </w:rPr>
        <w:tab/>
      </w:r>
      <w:r w:rsidRPr="00D93B48">
        <w:rPr>
          <w:rFonts w:eastAsia="SimSun"/>
        </w:rPr>
        <w:tab/>
        <w:t xml:space="preserve">Furthermore, the Commission’s rules provide, </w:t>
      </w:r>
      <w:r w:rsidRPr="00D93B48">
        <w:t xml:space="preserve">“A person complaining of an act done or omitted to be done by a person subject to the jurisdiction of the Commission, in violation, or claimed violation of a </w:t>
      </w:r>
      <w:r w:rsidRPr="00D93B48">
        <w:rPr>
          <w:b/>
          <w:bCs/>
        </w:rPr>
        <w:t>statute which the Commission has jurisdiction to administer</w:t>
      </w:r>
      <w:r w:rsidRPr="00D93B48">
        <w:t xml:space="preserve">, </w:t>
      </w:r>
      <w:r w:rsidRPr="00D93B48">
        <w:rPr>
          <w:b/>
          <w:bCs/>
        </w:rPr>
        <w:t>or of a regulation or order of the Commission</w:t>
      </w:r>
      <w:r w:rsidRPr="00D93B48">
        <w:t>, may file a formal complaint with the Commission.”</w:t>
      </w:r>
      <w:r w:rsidR="00960B78" w:rsidRPr="00D93B48">
        <w:rPr>
          <w:rStyle w:val="FootnoteReference"/>
        </w:rPr>
        <w:footnoteReference w:id="10"/>
      </w:r>
    </w:p>
    <w:p w14:paraId="75951839" w14:textId="77777777" w:rsidR="0023527B" w:rsidRPr="00D93B48" w:rsidRDefault="0023527B" w:rsidP="0023527B">
      <w:pPr>
        <w:pStyle w:val="NormalWeb"/>
        <w:shd w:val="clear" w:color="auto" w:fill="FFFFFF"/>
        <w:spacing w:before="0" w:beforeAutospacing="0" w:after="0" w:afterAutospacing="0" w:line="360" w:lineRule="auto"/>
      </w:pPr>
    </w:p>
    <w:p w14:paraId="44E2D397" w14:textId="5860C8A7" w:rsidR="009B5ABA" w:rsidRPr="00D93B48" w:rsidRDefault="0023527B" w:rsidP="009B5ABA">
      <w:pPr>
        <w:pStyle w:val="NormalWeb"/>
        <w:shd w:val="clear" w:color="auto" w:fill="FFFFFF"/>
        <w:spacing w:before="0" w:beforeAutospacing="0" w:after="0" w:afterAutospacing="0" w:line="360" w:lineRule="auto"/>
        <w:rPr>
          <w:b/>
          <w:bCs/>
        </w:rPr>
      </w:pPr>
      <w:r w:rsidRPr="00D93B48">
        <w:tab/>
      </w:r>
      <w:r w:rsidRPr="00D93B48">
        <w:tab/>
        <w:t xml:space="preserve">In the </w:t>
      </w:r>
      <w:r w:rsidR="00F11E7A" w:rsidRPr="00D93B48">
        <w:t xml:space="preserve">Amended </w:t>
      </w:r>
      <w:r w:rsidRPr="00D93B48">
        <w:t xml:space="preserve">Complaint, as well as the </w:t>
      </w:r>
      <w:r w:rsidR="00F11E7A" w:rsidRPr="00D93B48">
        <w:t>original Complaint</w:t>
      </w:r>
      <w:r w:rsidRPr="00D93B48">
        <w:t xml:space="preserve">, Complainant specifically, and repeatedly, </w:t>
      </w:r>
      <w:r w:rsidR="002753A9" w:rsidRPr="00D93B48">
        <w:t>allegations concerning municipal and/or federal bonds and securities</w:t>
      </w:r>
      <w:r w:rsidR="005103B5" w:rsidRPr="00D93B48">
        <w:t>,</w:t>
      </w:r>
      <w:r w:rsidR="002753A9" w:rsidRPr="00D93B48">
        <w:t xml:space="preserve"> along with </w:t>
      </w:r>
      <w:r w:rsidRPr="00D93B48">
        <w:t>references</w:t>
      </w:r>
      <w:r w:rsidR="002B63FB" w:rsidRPr="00D93B48">
        <w:t xml:space="preserve"> Title 31 of the Code of Federal Regulations (CFR</w:t>
      </w:r>
      <w:r w:rsidR="00DF3069" w:rsidRPr="00D93B48">
        <w:t>) – Money and Finance: Treasury</w:t>
      </w:r>
      <w:r w:rsidRPr="00D93B48">
        <w:t xml:space="preserve">.  </w:t>
      </w:r>
      <w:r w:rsidRPr="00D93B48">
        <w:rPr>
          <w:b/>
          <w:bCs/>
        </w:rPr>
        <w:t xml:space="preserve">The Commission lacks jurisdiction over Title </w:t>
      </w:r>
      <w:r w:rsidR="000A63F4" w:rsidRPr="00D93B48">
        <w:rPr>
          <w:b/>
          <w:bCs/>
        </w:rPr>
        <w:t>31 of the CRF</w:t>
      </w:r>
      <w:r w:rsidR="00825947" w:rsidRPr="00D93B48">
        <w:rPr>
          <w:b/>
          <w:bCs/>
        </w:rPr>
        <w:t xml:space="preserve"> and any Security and Exchange laws</w:t>
      </w:r>
      <w:r w:rsidRPr="00D93B48">
        <w:rPr>
          <w:b/>
          <w:bCs/>
        </w:rPr>
        <w:t xml:space="preserve">.  </w:t>
      </w:r>
      <w:r w:rsidR="0038317C" w:rsidRPr="00D93B48">
        <w:t xml:space="preserve">Consequently, </w:t>
      </w:r>
      <w:r w:rsidR="005333DC" w:rsidRPr="00D93B48">
        <w:t xml:space="preserve">PGW’s Preliminary Objection will be sustained </w:t>
      </w:r>
      <w:proofErr w:type="gramStart"/>
      <w:r w:rsidR="005333DC" w:rsidRPr="00D93B48">
        <w:t>with regard to</w:t>
      </w:r>
      <w:proofErr w:type="gramEnd"/>
      <w:r w:rsidR="005333DC" w:rsidRPr="00D93B48">
        <w:t xml:space="preserve"> these allegations</w:t>
      </w:r>
      <w:r w:rsidR="00C676C1" w:rsidRPr="00D93B48">
        <w:t>.  The portion o</w:t>
      </w:r>
      <w:r w:rsidR="00F553BB" w:rsidRPr="00D93B48">
        <w:t xml:space="preserve">f Mr. Coe’s Amended Complaint </w:t>
      </w:r>
      <w:r w:rsidR="009D15D0" w:rsidRPr="00D93B48">
        <w:t>concerning the allegations in question will be dismissed.</w:t>
      </w:r>
      <w:r w:rsidR="009D15D0" w:rsidRPr="00D93B48">
        <w:rPr>
          <w:b/>
          <w:bCs/>
        </w:rPr>
        <w:t xml:space="preserve"> </w:t>
      </w:r>
    </w:p>
    <w:p w14:paraId="326A6DD5" w14:textId="77777777" w:rsidR="009B5ABA" w:rsidRPr="00D93B48" w:rsidRDefault="009B5ABA" w:rsidP="009B5ABA">
      <w:pPr>
        <w:pStyle w:val="NormalWeb"/>
        <w:shd w:val="clear" w:color="auto" w:fill="FFFFFF"/>
        <w:spacing w:before="0" w:beforeAutospacing="0" w:after="0" w:afterAutospacing="0" w:line="360" w:lineRule="auto"/>
        <w:rPr>
          <w:b/>
          <w:bCs/>
        </w:rPr>
      </w:pPr>
    </w:p>
    <w:p w14:paraId="15AE9787" w14:textId="77777777" w:rsidR="00F061AD" w:rsidRPr="00D93B48" w:rsidRDefault="005A5147" w:rsidP="009B5ABA">
      <w:pPr>
        <w:pStyle w:val="NormalWeb"/>
        <w:shd w:val="clear" w:color="auto" w:fill="FFFFFF"/>
        <w:spacing w:before="0" w:beforeAutospacing="0" w:after="0" w:afterAutospacing="0" w:line="360" w:lineRule="auto"/>
        <w:ind w:firstLine="1440"/>
      </w:pPr>
      <w:r w:rsidRPr="00D93B48">
        <w:t>While the Am</w:t>
      </w:r>
      <w:r w:rsidR="00802DD5" w:rsidRPr="00D93B48">
        <w:t>e</w:t>
      </w:r>
      <w:r w:rsidRPr="00D93B48">
        <w:t xml:space="preserve">nded Complaint fails to </w:t>
      </w:r>
      <w:r w:rsidR="00B106BB" w:rsidRPr="00D93B48">
        <w:t xml:space="preserve">explain if and </w:t>
      </w:r>
      <w:r w:rsidR="00802DD5" w:rsidRPr="00D93B48">
        <w:t>how</w:t>
      </w:r>
      <w:r w:rsidR="00C37F17" w:rsidRPr="00D93B48">
        <w:t xml:space="preserve"> PGW has violated </w:t>
      </w:r>
      <w:r w:rsidR="00802DD5" w:rsidRPr="00D93B48">
        <w:t xml:space="preserve">a </w:t>
      </w:r>
      <w:r w:rsidRPr="00D93B48">
        <w:t>statute</w:t>
      </w:r>
      <w:r w:rsidR="00B106BB" w:rsidRPr="00D93B48">
        <w:t xml:space="preserve">, </w:t>
      </w:r>
      <w:r w:rsidR="0028166C" w:rsidRPr="00D93B48">
        <w:t>regulation,</w:t>
      </w:r>
      <w:r w:rsidR="00B106BB" w:rsidRPr="00D93B48">
        <w:t xml:space="preserve"> or order </w:t>
      </w:r>
      <w:r w:rsidRPr="00D93B48">
        <w:t xml:space="preserve">which the Commission has jurisdiction to administer, </w:t>
      </w:r>
      <w:r w:rsidR="00B106BB" w:rsidRPr="00D93B48">
        <w:t xml:space="preserve">the </w:t>
      </w:r>
      <w:r w:rsidR="0023527B" w:rsidRPr="00D93B48">
        <w:lastRenderedPageBreak/>
        <w:t>Complainant</w:t>
      </w:r>
      <w:r w:rsidR="00B106BB" w:rsidRPr="00D93B48">
        <w:t xml:space="preserve"> does</w:t>
      </w:r>
      <w:r w:rsidR="0023527B" w:rsidRPr="00D93B48">
        <w:t xml:space="preserve"> </w:t>
      </w:r>
      <w:r w:rsidR="00FD784E" w:rsidRPr="00D93B48">
        <w:t xml:space="preserve">aver </w:t>
      </w:r>
      <w:r w:rsidR="0028166C" w:rsidRPr="00D93B48">
        <w:t xml:space="preserve">that </w:t>
      </w:r>
      <w:r w:rsidR="00D209D2" w:rsidRPr="00D93B48">
        <w:t xml:space="preserve">PGW has terminated gas service at the service address and that he </w:t>
      </w:r>
      <w:r w:rsidR="001E2BB2" w:rsidRPr="00D93B48">
        <w:t xml:space="preserve">is seeking to have </w:t>
      </w:r>
      <w:r w:rsidR="009B5ABA" w:rsidRPr="00D93B48">
        <w:t xml:space="preserve">his </w:t>
      </w:r>
      <w:r w:rsidR="001E2BB2" w:rsidRPr="00D93B48">
        <w:t>gas service re</w:t>
      </w:r>
      <w:r w:rsidR="009B5ABA" w:rsidRPr="00D93B48">
        <w:t>stored</w:t>
      </w:r>
      <w:r w:rsidR="001E2BB2" w:rsidRPr="00D93B48">
        <w:t xml:space="preserve">. </w:t>
      </w:r>
      <w:r w:rsidR="009B5ABA" w:rsidRPr="00D93B48">
        <w:t xml:space="preserve"> </w:t>
      </w:r>
    </w:p>
    <w:p w14:paraId="6D1A8F13" w14:textId="77777777" w:rsidR="00F061AD" w:rsidRPr="00D93B48" w:rsidRDefault="00F061AD" w:rsidP="009B5ABA">
      <w:pPr>
        <w:pStyle w:val="NormalWeb"/>
        <w:shd w:val="clear" w:color="auto" w:fill="FFFFFF"/>
        <w:spacing w:before="0" w:beforeAutospacing="0" w:after="0" w:afterAutospacing="0" w:line="360" w:lineRule="auto"/>
        <w:ind w:firstLine="1440"/>
      </w:pPr>
    </w:p>
    <w:p w14:paraId="3CD2A375" w14:textId="0906F031" w:rsidR="00F061AD" w:rsidRPr="00D93B48" w:rsidRDefault="009B5ABA" w:rsidP="009B5ABA">
      <w:pPr>
        <w:pStyle w:val="NormalWeb"/>
        <w:shd w:val="clear" w:color="auto" w:fill="FFFFFF"/>
        <w:spacing w:before="0" w:beforeAutospacing="0" w:after="0" w:afterAutospacing="0" w:line="360" w:lineRule="auto"/>
        <w:ind w:firstLine="1440"/>
        <w:rPr>
          <w:rFonts w:eastAsia="Calibri"/>
        </w:rPr>
      </w:pPr>
      <w:r w:rsidRPr="00D93B48">
        <w:rPr>
          <w:rFonts w:eastAsia="Calibri"/>
        </w:rPr>
        <w:t xml:space="preserve">I am mindful that the Complainant is self-represented.  </w:t>
      </w:r>
      <w:r w:rsidR="00F061AD" w:rsidRPr="00D93B48">
        <w:rPr>
          <w:rFonts w:eastAsia="Calibri"/>
        </w:rPr>
        <w:t>On the other hand, PGW must have an opportunity to understand and respond in a meaningful way to a formal complaint.  The Commission’s rules of procedure permit the Commission to direct a more specific pleading.</w:t>
      </w:r>
      <w:r w:rsidR="00F061AD" w:rsidRPr="00D93B48">
        <w:rPr>
          <w:rFonts w:eastAsia="Calibri"/>
          <w:vertAlign w:val="superscript"/>
        </w:rPr>
        <w:footnoteReference w:id="11"/>
      </w:r>
      <w:r w:rsidR="00F061AD" w:rsidRPr="00D93B48">
        <w:rPr>
          <w:rFonts w:eastAsia="Calibri"/>
        </w:rPr>
        <w:t xml:space="preserve">  In this case, Mr. Coe</w:t>
      </w:r>
      <w:r w:rsidR="00880793" w:rsidRPr="00D93B48">
        <w:rPr>
          <w:rFonts w:eastAsia="Calibri"/>
        </w:rPr>
        <w:t xml:space="preserve"> has already </w:t>
      </w:r>
      <w:r w:rsidR="007B2F92" w:rsidRPr="00D93B48">
        <w:rPr>
          <w:rFonts w:eastAsia="Calibri"/>
        </w:rPr>
        <w:t>filed an Amended Complaint.</w:t>
      </w:r>
    </w:p>
    <w:p w14:paraId="11405969" w14:textId="77777777" w:rsidR="007B2F92" w:rsidRPr="00D93B48" w:rsidRDefault="007B2F92" w:rsidP="009B5ABA">
      <w:pPr>
        <w:pStyle w:val="NormalWeb"/>
        <w:shd w:val="clear" w:color="auto" w:fill="FFFFFF"/>
        <w:spacing w:before="0" w:beforeAutospacing="0" w:after="0" w:afterAutospacing="0" w:line="360" w:lineRule="auto"/>
        <w:ind w:firstLine="1440"/>
        <w:rPr>
          <w:rFonts w:eastAsia="Calibri"/>
        </w:rPr>
      </w:pPr>
    </w:p>
    <w:p w14:paraId="6B64D0C2" w14:textId="783FEF4E" w:rsidR="009B5ABA" w:rsidRPr="00D93B48" w:rsidRDefault="009B5ABA" w:rsidP="009B5ABA">
      <w:pPr>
        <w:pStyle w:val="NormalWeb"/>
        <w:shd w:val="clear" w:color="auto" w:fill="FFFFFF"/>
        <w:spacing w:before="0" w:beforeAutospacing="0" w:after="0" w:afterAutospacing="0" w:line="360" w:lineRule="auto"/>
        <w:ind w:firstLine="1440"/>
        <w:rPr>
          <w:b/>
          <w:bCs/>
        </w:rPr>
      </w:pPr>
      <w:r w:rsidRPr="00D93B48">
        <w:rPr>
          <w:rFonts w:eastAsia="Calibri"/>
        </w:rPr>
        <w:t xml:space="preserve">In </w:t>
      </w:r>
      <w:r w:rsidRPr="00D93B48">
        <w:rPr>
          <w:rFonts w:eastAsia="Calibri"/>
          <w:i/>
        </w:rPr>
        <w:t>Carlock v. The United Telephone Company of Pennsylvania</w:t>
      </w:r>
      <w:r w:rsidRPr="00D93B48">
        <w:rPr>
          <w:rFonts w:eastAsia="Calibri"/>
        </w:rPr>
        <w:t>,</w:t>
      </w:r>
      <w:r w:rsidRPr="00D93B48">
        <w:rPr>
          <w:rFonts w:eastAsia="Calibri"/>
          <w:vertAlign w:val="superscript"/>
        </w:rPr>
        <w:footnoteReference w:id="12"/>
      </w:r>
      <w:r w:rsidRPr="00D93B48">
        <w:rPr>
          <w:rFonts w:eastAsia="Calibri"/>
        </w:rPr>
        <w:t xml:space="preserve"> the Commission held that, in the normal course, the Commission would not dismiss a complaint of a self-represented person without first providing a hearing during which the self-represented complainant could further explain their position and the factual basis for their complaint.  The Commission expressed the concern that, in general, complainants may find it difficult to navigate through pre-hearing motions and should be given the chance to orally describe their basic </w:t>
      </w:r>
      <w:r w:rsidR="00262552" w:rsidRPr="00D93B48">
        <w:rPr>
          <w:rFonts w:eastAsia="Calibri"/>
        </w:rPr>
        <w:t>issues</w:t>
      </w:r>
      <w:r w:rsidRPr="00D93B48">
        <w:rPr>
          <w:rFonts w:eastAsia="Calibri"/>
        </w:rPr>
        <w:t xml:space="preserve"> and supporting facts.  On this vein, it would be inappropriate to</w:t>
      </w:r>
      <w:r w:rsidR="00F652B6" w:rsidRPr="00D93B48">
        <w:rPr>
          <w:rFonts w:eastAsia="Calibri"/>
        </w:rPr>
        <w:t xml:space="preserve"> dismiss Mr. Coe’s Amended Complaint in its entirety</w:t>
      </w:r>
      <w:r w:rsidR="00FC12DC" w:rsidRPr="00D93B48">
        <w:rPr>
          <w:rFonts w:eastAsia="Calibri"/>
        </w:rPr>
        <w:t xml:space="preserve"> without giving him</w:t>
      </w:r>
      <w:r w:rsidR="00F652B6" w:rsidRPr="00D93B48">
        <w:rPr>
          <w:rFonts w:eastAsia="Calibri"/>
        </w:rPr>
        <w:t xml:space="preserve"> </w:t>
      </w:r>
      <w:r w:rsidR="00FC12DC" w:rsidRPr="00D93B48">
        <w:rPr>
          <w:rFonts w:eastAsia="Calibri"/>
        </w:rPr>
        <w:t xml:space="preserve">a </w:t>
      </w:r>
      <w:r w:rsidR="00601E3D" w:rsidRPr="00D93B48">
        <w:rPr>
          <w:rFonts w:eastAsia="Calibri"/>
        </w:rPr>
        <w:t xml:space="preserve">chance to orally describe </w:t>
      </w:r>
      <w:r w:rsidR="00FC12DC" w:rsidRPr="00D93B48">
        <w:rPr>
          <w:rFonts w:eastAsia="Calibri"/>
        </w:rPr>
        <w:t xml:space="preserve">his </w:t>
      </w:r>
      <w:r w:rsidR="00601E3D" w:rsidRPr="00D93B48">
        <w:rPr>
          <w:rFonts w:eastAsia="Calibri"/>
        </w:rPr>
        <w:t>basic issue</w:t>
      </w:r>
      <w:r w:rsidR="00FC12DC" w:rsidRPr="00D93B48">
        <w:rPr>
          <w:rFonts w:eastAsia="Calibri"/>
        </w:rPr>
        <w:t>.</w:t>
      </w:r>
    </w:p>
    <w:p w14:paraId="15A98217" w14:textId="77777777" w:rsidR="009B5ABA" w:rsidRPr="00D93B48" w:rsidRDefault="009B5ABA" w:rsidP="009B5ABA">
      <w:pPr>
        <w:spacing w:after="0" w:line="360" w:lineRule="auto"/>
        <w:ind w:firstLine="1440"/>
        <w:rPr>
          <w:rFonts w:ascii="Times New Roman" w:eastAsia="Calibri" w:hAnsi="Times New Roman" w:cs="Times New Roman"/>
          <w:sz w:val="24"/>
          <w:szCs w:val="24"/>
        </w:rPr>
      </w:pPr>
    </w:p>
    <w:p w14:paraId="22F05724" w14:textId="5004BA34" w:rsidR="009B5ABA" w:rsidRPr="00D93B48" w:rsidRDefault="009B5ABA" w:rsidP="009B5ABA">
      <w:pPr>
        <w:spacing w:after="0" w:line="360" w:lineRule="auto"/>
        <w:ind w:firstLine="1440"/>
        <w:rPr>
          <w:rFonts w:ascii="Times New Roman" w:eastAsia="Calibri" w:hAnsi="Times New Roman" w:cs="Times New Roman"/>
          <w:sz w:val="24"/>
          <w:szCs w:val="24"/>
        </w:rPr>
      </w:pPr>
      <w:r w:rsidRPr="00D93B48">
        <w:rPr>
          <w:rFonts w:ascii="Times New Roman" w:eastAsia="Calibri" w:hAnsi="Times New Roman" w:cs="Times New Roman"/>
          <w:sz w:val="24"/>
          <w:szCs w:val="24"/>
        </w:rPr>
        <w:t xml:space="preserve">Therefore, </w:t>
      </w:r>
      <w:r w:rsidR="00FC12DC" w:rsidRPr="00D93B48">
        <w:rPr>
          <w:rFonts w:ascii="Times New Roman" w:eastAsia="Calibri" w:hAnsi="Times New Roman" w:cs="Times New Roman"/>
          <w:sz w:val="24"/>
          <w:szCs w:val="24"/>
        </w:rPr>
        <w:t xml:space="preserve">the case will be set for </w:t>
      </w:r>
      <w:bookmarkStart w:id="2" w:name="_Hlk159935386"/>
      <w:r w:rsidR="00FC12DC" w:rsidRPr="00D93B48">
        <w:rPr>
          <w:rFonts w:ascii="Times New Roman" w:eastAsia="Calibri" w:hAnsi="Times New Roman" w:cs="Times New Roman"/>
          <w:sz w:val="24"/>
          <w:szCs w:val="24"/>
        </w:rPr>
        <w:t xml:space="preserve">a </w:t>
      </w:r>
      <w:r w:rsidR="001B264E" w:rsidRPr="00D93B48">
        <w:rPr>
          <w:rFonts w:ascii="Times New Roman" w:eastAsia="Calibri" w:hAnsi="Times New Roman" w:cs="Times New Roman"/>
          <w:sz w:val="24"/>
          <w:szCs w:val="24"/>
        </w:rPr>
        <w:t>telephonic prehearing conference</w:t>
      </w:r>
      <w:r w:rsidR="003D44F8" w:rsidRPr="00D93B48">
        <w:rPr>
          <w:rFonts w:ascii="Times New Roman" w:eastAsia="Calibri" w:hAnsi="Times New Roman" w:cs="Times New Roman"/>
          <w:sz w:val="24"/>
          <w:szCs w:val="24"/>
        </w:rPr>
        <w:t xml:space="preserve"> in which Mr. Coe must come prepared to state </w:t>
      </w:r>
      <w:r w:rsidR="00D7071E" w:rsidRPr="00D93B48">
        <w:rPr>
          <w:rFonts w:ascii="Times New Roman" w:hAnsi="Times New Roman" w:cs="Times New Roman"/>
          <w:i/>
          <w:iCs/>
          <w:sz w:val="24"/>
          <w:szCs w:val="24"/>
        </w:rPr>
        <w:t>clearly, plainly, and specifically</w:t>
      </w:r>
      <w:r w:rsidR="00D7071E" w:rsidRPr="00D93B48">
        <w:rPr>
          <w:rFonts w:ascii="Times New Roman" w:hAnsi="Times New Roman" w:cs="Times New Roman"/>
          <w:sz w:val="24"/>
          <w:szCs w:val="24"/>
        </w:rPr>
        <w:t xml:space="preserve"> </w:t>
      </w:r>
      <w:r w:rsidR="00262552" w:rsidRPr="00D93B48">
        <w:rPr>
          <w:rFonts w:ascii="Times New Roman" w:hAnsi="Times New Roman" w:cs="Times New Roman"/>
          <w:sz w:val="24"/>
          <w:szCs w:val="24"/>
        </w:rPr>
        <w:t>if and how PGW has violated a statute, regulation, or order which the Commission has jurisdiction to administer</w:t>
      </w:r>
      <w:bookmarkEnd w:id="2"/>
      <w:r w:rsidRPr="00D93B48">
        <w:rPr>
          <w:rFonts w:ascii="Times New Roman" w:eastAsia="Calibri" w:hAnsi="Times New Roman" w:cs="Times New Roman"/>
          <w:sz w:val="24"/>
          <w:szCs w:val="24"/>
        </w:rPr>
        <w:t xml:space="preserve">.  </w:t>
      </w:r>
      <w:bookmarkStart w:id="3" w:name="_Hlk159935520"/>
      <w:proofErr w:type="gramStart"/>
      <w:r w:rsidRPr="00D93B48">
        <w:rPr>
          <w:rFonts w:ascii="Times New Roman" w:eastAsia="Calibri" w:hAnsi="Times New Roman" w:cs="Times New Roman"/>
          <w:sz w:val="24"/>
          <w:szCs w:val="24"/>
        </w:rPr>
        <w:t>In the event that</w:t>
      </w:r>
      <w:proofErr w:type="gramEnd"/>
      <w:r w:rsidRPr="00D93B48">
        <w:rPr>
          <w:rFonts w:ascii="Times New Roman" w:eastAsia="Calibri" w:hAnsi="Times New Roman" w:cs="Times New Roman"/>
          <w:sz w:val="24"/>
          <w:szCs w:val="24"/>
        </w:rPr>
        <w:t xml:space="preserve"> the Complainant fails to comply with this order, P</w:t>
      </w:r>
      <w:r w:rsidR="00EF56AE" w:rsidRPr="00D93B48">
        <w:rPr>
          <w:rFonts w:ascii="Times New Roman" w:eastAsia="Calibri" w:hAnsi="Times New Roman" w:cs="Times New Roman"/>
          <w:sz w:val="24"/>
          <w:szCs w:val="24"/>
        </w:rPr>
        <w:t>GW</w:t>
      </w:r>
      <w:r w:rsidRPr="00D93B48">
        <w:rPr>
          <w:rFonts w:ascii="Times New Roman" w:eastAsia="Calibri" w:hAnsi="Times New Roman" w:cs="Times New Roman"/>
          <w:sz w:val="24"/>
          <w:szCs w:val="24"/>
        </w:rPr>
        <w:t xml:space="preserve"> may file an appropriate motion to seek dismissal of the Complaint.</w:t>
      </w:r>
    </w:p>
    <w:bookmarkEnd w:id="3"/>
    <w:p w14:paraId="3DF03E51" w14:textId="005772E6" w:rsidR="000001E7" w:rsidRPr="00D93B48" w:rsidRDefault="000001E7">
      <w:pPr>
        <w:rPr>
          <w:rFonts w:ascii="Times New Roman" w:eastAsia="Times New Roman" w:hAnsi="Times New Roman" w:cs="Times New Roman"/>
          <w:sz w:val="24"/>
          <w:szCs w:val="24"/>
        </w:rPr>
      </w:pPr>
      <w:r w:rsidRPr="00D93B48">
        <w:rPr>
          <w:rFonts w:ascii="Times New Roman" w:eastAsia="Times New Roman" w:hAnsi="Times New Roman" w:cs="Times New Roman"/>
          <w:sz w:val="24"/>
          <w:szCs w:val="24"/>
        </w:rPr>
        <w:br w:type="page"/>
      </w:r>
    </w:p>
    <w:p w14:paraId="35DF8153" w14:textId="77777777" w:rsidR="00F43C78" w:rsidRPr="00D93B48" w:rsidRDefault="00F43C78" w:rsidP="00F43C78">
      <w:pPr>
        <w:tabs>
          <w:tab w:val="left" w:pos="-720"/>
          <w:tab w:val="left" w:pos="0"/>
        </w:tabs>
        <w:suppressAutoHyphens/>
        <w:autoSpaceDE w:val="0"/>
        <w:autoSpaceDN w:val="0"/>
        <w:spacing w:after="0" w:line="360" w:lineRule="auto"/>
        <w:rPr>
          <w:rFonts w:ascii="Times New Roman" w:eastAsia="Times New Roman" w:hAnsi="Times New Roman" w:cs="Times New Roman"/>
          <w:sz w:val="24"/>
          <w:szCs w:val="24"/>
        </w:rPr>
      </w:pPr>
    </w:p>
    <w:p w14:paraId="44937E3F" w14:textId="77777777" w:rsidR="00F43C78" w:rsidRPr="00D93B48" w:rsidRDefault="00F43C78" w:rsidP="00F43C78">
      <w:pPr>
        <w:autoSpaceDE w:val="0"/>
        <w:autoSpaceDN w:val="0"/>
        <w:spacing w:after="0" w:line="360" w:lineRule="auto"/>
        <w:jc w:val="center"/>
        <w:rPr>
          <w:rFonts w:ascii="Times New Roman" w:eastAsia="Times New Roman" w:hAnsi="Times New Roman" w:cs="Times New Roman"/>
          <w:sz w:val="24"/>
          <w:szCs w:val="24"/>
          <w:u w:val="single"/>
        </w:rPr>
      </w:pPr>
      <w:r w:rsidRPr="00D93B48">
        <w:rPr>
          <w:rFonts w:ascii="Times New Roman" w:eastAsia="Times New Roman" w:hAnsi="Times New Roman" w:cs="Times New Roman"/>
          <w:sz w:val="24"/>
          <w:szCs w:val="24"/>
          <w:u w:val="single"/>
        </w:rPr>
        <w:t>ORDER</w:t>
      </w:r>
    </w:p>
    <w:p w14:paraId="695F020A" w14:textId="77777777" w:rsidR="00F43C78" w:rsidRPr="00D93B48" w:rsidRDefault="00F43C78" w:rsidP="00F43C78">
      <w:pPr>
        <w:autoSpaceDE w:val="0"/>
        <w:autoSpaceDN w:val="0"/>
        <w:spacing w:after="0" w:line="360" w:lineRule="auto"/>
        <w:jc w:val="center"/>
        <w:rPr>
          <w:rFonts w:ascii="Times New Roman" w:eastAsia="Times New Roman" w:hAnsi="Times New Roman" w:cs="Times New Roman"/>
          <w:sz w:val="24"/>
          <w:szCs w:val="24"/>
        </w:rPr>
      </w:pPr>
    </w:p>
    <w:p w14:paraId="7CDE1A96" w14:textId="77777777" w:rsidR="00F43C78" w:rsidRPr="00D93B48" w:rsidRDefault="00F43C78" w:rsidP="00F43C78">
      <w:pPr>
        <w:autoSpaceDE w:val="0"/>
        <w:autoSpaceDN w:val="0"/>
        <w:spacing w:after="0" w:line="360" w:lineRule="auto"/>
        <w:jc w:val="center"/>
        <w:rPr>
          <w:rFonts w:ascii="Times New Roman" w:eastAsia="Times New Roman" w:hAnsi="Times New Roman" w:cs="Times New Roman"/>
          <w:sz w:val="24"/>
          <w:szCs w:val="24"/>
        </w:rPr>
      </w:pPr>
    </w:p>
    <w:p w14:paraId="6FAEEE57" w14:textId="77777777" w:rsidR="00F43C78" w:rsidRPr="00D93B48" w:rsidRDefault="00F43C78" w:rsidP="00F43C78">
      <w:pPr>
        <w:autoSpaceDE w:val="0"/>
        <w:autoSpaceDN w:val="0"/>
        <w:spacing w:after="0" w:line="360" w:lineRule="auto"/>
        <w:rPr>
          <w:rFonts w:ascii="Times New Roman" w:eastAsia="Times New Roman" w:hAnsi="Times New Roman" w:cs="Times New Roman"/>
          <w:sz w:val="24"/>
          <w:szCs w:val="24"/>
        </w:rPr>
      </w:pPr>
      <w:r w:rsidRPr="00D93B48">
        <w:rPr>
          <w:rFonts w:ascii="Times New Roman" w:eastAsia="Times New Roman" w:hAnsi="Times New Roman" w:cs="Times New Roman"/>
          <w:sz w:val="24"/>
          <w:szCs w:val="24"/>
        </w:rPr>
        <w:tab/>
      </w:r>
      <w:r w:rsidRPr="00D93B48">
        <w:rPr>
          <w:rFonts w:ascii="Times New Roman" w:eastAsia="Times New Roman" w:hAnsi="Times New Roman" w:cs="Times New Roman"/>
          <w:sz w:val="24"/>
          <w:szCs w:val="24"/>
        </w:rPr>
        <w:tab/>
        <w:t xml:space="preserve">THEREFORE, </w:t>
      </w:r>
    </w:p>
    <w:p w14:paraId="24FA7791" w14:textId="77777777" w:rsidR="00F43C78" w:rsidRPr="00D93B48" w:rsidRDefault="00F43C78" w:rsidP="00F43C78">
      <w:pPr>
        <w:autoSpaceDE w:val="0"/>
        <w:autoSpaceDN w:val="0"/>
        <w:spacing w:after="0" w:line="360" w:lineRule="auto"/>
        <w:rPr>
          <w:rFonts w:ascii="Times New Roman" w:eastAsia="Times New Roman" w:hAnsi="Times New Roman" w:cs="Times New Roman"/>
          <w:sz w:val="24"/>
          <w:szCs w:val="24"/>
        </w:rPr>
      </w:pPr>
    </w:p>
    <w:p w14:paraId="37C9C82C" w14:textId="77777777" w:rsidR="00F43C78" w:rsidRPr="00D93B48" w:rsidRDefault="00F43C78" w:rsidP="00F43C78">
      <w:pPr>
        <w:autoSpaceDE w:val="0"/>
        <w:autoSpaceDN w:val="0"/>
        <w:spacing w:after="0" w:line="360" w:lineRule="auto"/>
        <w:rPr>
          <w:rFonts w:ascii="Times New Roman" w:eastAsia="Times New Roman" w:hAnsi="Times New Roman" w:cs="Times New Roman"/>
          <w:sz w:val="24"/>
          <w:szCs w:val="24"/>
        </w:rPr>
      </w:pPr>
      <w:r w:rsidRPr="00D93B48">
        <w:rPr>
          <w:rFonts w:ascii="Times New Roman" w:eastAsia="Times New Roman" w:hAnsi="Times New Roman" w:cs="Times New Roman"/>
          <w:sz w:val="24"/>
          <w:szCs w:val="24"/>
        </w:rPr>
        <w:tab/>
      </w:r>
      <w:r w:rsidRPr="00D93B48">
        <w:rPr>
          <w:rFonts w:ascii="Times New Roman" w:eastAsia="Times New Roman" w:hAnsi="Times New Roman" w:cs="Times New Roman"/>
          <w:sz w:val="24"/>
          <w:szCs w:val="24"/>
        </w:rPr>
        <w:tab/>
        <w:t>IT IS ORDERED:</w:t>
      </w:r>
    </w:p>
    <w:p w14:paraId="5311194C" w14:textId="77777777" w:rsidR="00F43C78" w:rsidRPr="00D93B48" w:rsidRDefault="00F43C78" w:rsidP="00F43C78">
      <w:pPr>
        <w:autoSpaceDE w:val="0"/>
        <w:autoSpaceDN w:val="0"/>
        <w:spacing w:after="0" w:line="360" w:lineRule="auto"/>
        <w:rPr>
          <w:rFonts w:ascii="Times New Roman" w:eastAsia="Times New Roman" w:hAnsi="Times New Roman" w:cs="Times New Roman"/>
          <w:sz w:val="24"/>
          <w:szCs w:val="24"/>
        </w:rPr>
      </w:pPr>
    </w:p>
    <w:p w14:paraId="5204663B" w14:textId="2316EBB3" w:rsidR="00F43C78" w:rsidRPr="00D93B48" w:rsidRDefault="00F43C78" w:rsidP="00F43C78">
      <w:pPr>
        <w:numPr>
          <w:ilvl w:val="0"/>
          <w:numId w:val="1"/>
        </w:numPr>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That the Preliminary Objection filed by Philadelphia Gas Works in the matter of Christopher Coe v. Philadelphia Gas Works at Docket No. C-2023-304</w:t>
      </w:r>
      <w:r w:rsidR="00751F71" w:rsidRPr="00D93B48">
        <w:rPr>
          <w:rFonts w:ascii="Times New Roman" w:eastAsia="Times New Roman" w:hAnsi="Times New Roman" w:cs="Times New Roman"/>
          <w:spacing w:val="-3"/>
          <w:sz w:val="24"/>
          <w:szCs w:val="24"/>
        </w:rPr>
        <w:t>3975</w:t>
      </w:r>
      <w:r w:rsidRPr="00D93B48">
        <w:rPr>
          <w:rFonts w:ascii="Times New Roman" w:eastAsia="Times New Roman" w:hAnsi="Times New Roman" w:cs="Times New Roman"/>
          <w:spacing w:val="-3"/>
          <w:sz w:val="24"/>
          <w:szCs w:val="24"/>
        </w:rPr>
        <w:t xml:space="preserve"> is granted, in part, and denied, in part</w:t>
      </w:r>
      <w:r w:rsidR="006557B0" w:rsidRPr="00D93B48">
        <w:rPr>
          <w:rFonts w:ascii="Times New Roman" w:eastAsia="Times New Roman" w:hAnsi="Times New Roman" w:cs="Times New Roman"/>
          <w:spacing w:val="-3"/>
          <w:sz w:val="24"/>
          <w:szCs w:val="24"/>
        </w:rPr>
        <w:t>.</w:t>
      </w:r>
    </w:p>
    <w:p w14:paraId="0DD2B54F" w14:textId="77777777" w:rsidR="00F43C78" w:rsidRPr="00D93B48" w:rsidRDefault="00F43C78" w:rsidP="00F43C78">
      <w:pPr>
        <w:spacing w:after="0" w:line="360" w:lineRule="auto"/>
        <w:ind w:left="1440"/>
        <w:contextualSpacing/>
        <w:rPr>
          <w:rFonts w:ascii="Times New Roman" w:eastAsia="Times New Roman" w:hAnsi="Times New Roman" w:cs="Times New Roman"/>
          <w:spacing w:val="-3"/>
          <w:sz w:val="24"/>
          <w:szCs w:val="24"/>
        </w:rPr>
      </w:pPr>
    </w:p>
    <w:p w14:paraId="6782634D" w14:textId="03366333" w:rsidR="00F43C78" w:rsidRPr="00D93B48" w:rsidRDefault="00F43C78" w:rsidP="00F43C78">
      <w:pPr>
        <w:numPr>
          <w:ilvl w:val="0"/>
          <w:numId w:val="1"/>
        </w:numPr>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 xml:space="preserve">That the </w:t>
      </w:r>
      <w:r w:rsidR="00C212AA" w:rsidRPr="00D93B48">
        <w:rPr>
          <w:rFonts w:ascii="Times New Roman" w:eastAsia="Times New Roman" w:hAnsi="Times New Roman" w:cs="Times New Roman"/>
          <w:spacing w:val="-3"/>
          <w:sz w:val="24"/>
          <w:szCs w:val="24"/>
        </w:rPr>
        <w:t xml:space="preserve">portion of the Amended Complaint </w:t>
      </w:r>
      <w:r w:rsidR="0093094D" w:rsidRPr="00D93B48">
        <w:rPr>
          <w:rFonts w:ascii="Times New Roman" w:hAnsi="Times New Roman" w:cs="Times New Roman"/>
          <w:sz w:val="24"/>
          <w:szCs w:val="24"/>
        </w:rPr>
        <w:t>concerning Title 31 of the Code of Federal Regulations</w:t>
      </w:r>
      <w:r w:rsidR="00EB4B3E" w:rsidRPr="00D93B48">
        <w:rPr>
          <w:rFonts w:ascii="Times New Roman" w:hAnsi="Times New Roman" w:cs="Times New Roman"/>
          <w:sz w:val="24"/>
          <w:szCs w:val="24"/>
        </w:rPr>
        <w:t xml:space="preserve"> as well as other Securities and Exchange laws</w:t>
      </w:r>
      <w:r w:rsidR="0093094D" w:rsidRPr="00D93B48">
        <w:rPr>
          <w:rFonts w:ascii="Times New Roman" w:hAnsi="Times New Roman" w:cs="Times New Roman"/>
          <w:sz w:val="24"/>
          <w:szCs w:val="24"/>
        </w:rPr>
        <w:t xml:space="preserve"> </w:t>
      </w:r>
      <w:r w:rsidR="005D4F93" w:rsidRPr="00D93B48">
        <w:rPr>
          <w:rFonts w:ascii="Times New Roman" w:hAnsi="Times New Roman" w:cs="Times New Roman"/>
          <w:sz w:val="24"/>
          <w:szCs w:val="24"/>
        </w:rPr>
        <w:t>is dismissed for lack of Commission jurisdiction.</w:t>
      </w:r>
    </w:p>
    <w:p w14:paraId="10286561" w14:textId="77777777" w:rsidR="00F43C78" w:rsidRPr="00D93B48" w:rsidRDefault="00F43C78" w:rsidP="00F43C78">
      <w:pPr>
        <w:spacing w:after="0" w:line="360" w:lineRule="auto"/>
        <w:contextualSpacing/>
        <w:rPr>
          <w:rFonts w:ascii="Times New Roman" w:eastAsia="Times New Roman" w:hAnsi="Times New Roman" w:cs="Times New Roman"/>
          <w:spacing w:val="-3"/>
          <w:sz w:val="24"/>
          <w:szCs w:val="24"/>
        </w:rPr>
      </w:pPr>
    </w:p>
    <w:p w14:paraId="5E87BCC5" w14:textId="070435D6" w:rsidR="00F43C78" w:rsidRPr="00D93B48" w:rsidRDefault="00F43C78" w:rsidP="00F43C78">
      <w:pPr>
        <w:numPr>
          <w:ilvl w:val="0"/>
          <w:numId w:val="1"/>
        </w:numPr>
        <w:suppressAutoHyphens/>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 xml:space="preserve">That matter shall be set for </w:t>
      </w:r>
      <w:r w:rsidR="007919BF" w:rsidRPr="00D93B48">
        <w:rPr>
          <w:rFonts w:ascii="Times New Roman" w:eastAsia="Calibri" w:hAnsi="Times New Roman" w:cs="Times New Roman"/>
          <w:sz w:val="24"/>
          <w:szCs w:val="24"/>
        </w:rPr>
        <w:t xml:space="preserve">a telephonic prehearing conference in which the Complainant must come prepared to state </w:t>
      </w:r>
      <w:r w:rsidR="007919BF" w:rsidRPr="00D93B48">
        <w:rPr>
          <w:rFonts w:ascii="Times New Roman" w:hAnsi="Times New Roman" w:cs="Times New Roman"/>
          <w:i/>
          <w:iCs/>
          <w:sz w:val="24"/>
          <w:szCs w:val="24"/>
        </w:rPr>
        <w:t>clearly, plainly, and specifically</w:t>
      </w:r>
      <w:r w:rsidR="007919BF" w:rsidRPr="00D93B48">
        <w:rPr>
          <w:rFonts w:ascii="Times New Roman" w:hAnsi="Times New Roman" w:cs="Times New Roman"/>
          <w:sz w:val="24"/>
          <w:szCs w:val="24"/>
        </w:rPr>
        <w:t xml:space="preserve"> if and how the Company has violated a statute, regulation, or order which the Commission has jurisdiction to administer</w:t>
      </w:r>
      <w:r w:rsidR="00534093" w:rsidRPr="00D93B48">
        <w:rPr>
          <w:rFonts w:ascii="Times New Roman" w:hAnsi="Times New Roman" w:cs="Times New Roman"/>
          <w:sz w:val="24"/>
          <w:szCs w:val="24"/>
        </w:rPr>
        <w:t>.</w:t>
      </w:r>
    </w:p>
    <w:p w14:paraId="5E46FF18" w14:textId="77777777" w:rsidR="00F65645" w:rsidRPr="00D93B48" w:rsidRDefault="00F65645" w:rsidP="00F65645">
      <w:pPr>
        <w:pStyle w:val="ListParagraph"/>
        <w:rPr>
          <w:rFonts w:ascii="Times New Roman" w:eastAsia="Times New Roman" w:hAnsi="Times New Roman" w:cs="Times New Roman"/>
          <w:spacing w:val="-3"/>
          <w:sz w:val="24"/>
          <w:szCs w:val="24"/>
        </w:rPr>
      </w:pPr>
    </w:p>
    <w:p w14:paraId="6FFD2A27" w14:textId="6568556F" w:rsidR="00F65645" w:rsidRPr="00D93B48" w:rsidRDefault="00F65645" w:rsidP="00F43C78">
      <w:pPr>
        <w:numPr>
          <w:ilvl w:val="0"/>
          <w:numId w:val="1"/>
        </w:numPr>
        <w:suppressAutoHyphens/>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 xml:space="preserve">If the Complainant fails to comply with this Order, </w:t>
      </w:r>
      <w:r w:rsidR="005B68BE" w:rsidRPr="00D93B48">
        <w:rPr>
          <w:rFonts w:ascii="Times New Roman" w:eastAsia="Times New Roman" w:hAnsi="Times New Roman" w:cs="Times New Roman"/>
          <w:spacing w:val="-3"/>
          <w:sz w:val="24"/>
          <w:szCs w:val="24"/>
        </w:rPr>
        <w:t xml:space="preserve">the Respondent </w:t>
      </w:r>
      <w:r w:rsidRPr="00D93B48">
        <w:rPr>
          <w:rFonts w:ascii="Times New Roman" w:eastAsia="Times New Roman" w:hAnsi="Times New Roman" w:cs="Times New Roman"/>
          <w:spacing w:val="-3"/>
          <w:sz w:val="24"/>
          <w:szCs w:val="24"/>
        </w:rPr>
        <w:t>may file an appropriate motion to seek dismissal of the Complaint.</w:t>
      </w:r>
    </w:p>
    <w:p w14:paraId="1861AE68" w14:textId="77777777" w:rsidR="00F43C78" w:rsidRPr="00D93B48" w:rsidRDefault="00F43C78" w:rsidP="00F43C78">
      <w:pPr>
        <w:tabs>
          <w:tab w:val="left" w:pos="720"/>
          <w:tab w:val="left" w:pos="5040"/>
        </w:tabs>
        <w:suppressAutoHyphens/>
        <w:autoSpaceDE w:val="0"/>
        <w:autoSpaceDN w:val="0"/>
        <w:spacing w:after="0" w:line="360" w:lineRule="auto"/>
        <w:rPr>
          <w:rFonts w:ascii="Times New Roman" w:eastAsia="Times New Roman" w:hAnsi="Times New Roman" w:cs="Times New Roman"/>
          <w:spacing w:val="-3"/>
          <w:sz w:val="24"/>
          <w:szCs w:val="24"/>
        </w:rPr>
      </w:pPr>
    </w:p>
    <w:p w14:paraId="674435C3" w14:textId="77777777" w:rsidR="005B68BE" w:rsidRPr="00D93B48" w:rsidRDefault="005B68BE" w:rsidP="00F43C78">
      <w:pPr>
        <w:tabs>
          <w:tab w:val="left" w:pos="720"/>
          <w:tab w:val="left" w:pos="5040"/>
        </w:tabs>
        <w:suppressAutoHyphens/>
        <w:autoSpaceDE w:val="0"/>
        <w:autoSpaceDN w:val="0"/>
        <w:spacing w:after="0" w:line="360" w:lineRule="auto"/>
        <w:rPr>
          <w:rFonts w:ascii="Times New Roman" w:eastAsia="Times New Roman" w:hAnsi="Times New Roman" w:cs="Times New Roman"/>
          <w:spacing w:val="-3"/>
          <w:sz w:val="24"/>
          <w:szCs w:val="24"/>
        </w:rPr>
      </w:pPr>
    </w:p>
    <w:p w14:paraId="766C8147" w14:textId="27A04C36" w:rsidR="00F43C78" w:rsidRPr="00D93B48" w:rsidRDefault="00F43C78" w:rsidP="00F43C7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93B48">
        <w:rPr>
          <w:rFonts w:ascii="Times New Roman" w:eastAsia="Times New Roman" w:hAnsi="Times New Roman" w:cs="Times New Roman"/>
          <w:spacing w:val="-3"/>
          <w:sz w:val="24"/>
          <w:szCs w:val="24"/>
        </w:rPr>
        <w:t>Date:</w:t>
      </w:r>
      <w:r w:rsidRPr="00D93B48">
        <w:rPr>
          <w:rFonts w:ascii="Times New Roman" w:eastAsia="Times New Roman" w:hAnsi="Times New Roman" w:cs="Times New Roman"/>
          <w:spacing w:val="-3"/>
          <w:sz w:val="24"/>
          <w:szCs w:val="24"/>
          <w:u w:val="single"/>
        </w:rPr>
        <w:t xml:space="preserve">  </w:t>
      </w:r>
      <w:r w:rsidR="001B5C4F" w:rsidRPr="00D93B48">
        <w:rPr>
          <w:rFonts w:ascii="Times New Roman" w:eastAsia="Times New Roman" w:hAnsi="Times New Roman" w:cs="Times New Roman"/>
          <w:spacing w:val="-3"/>
          <w:sz w:val="24"/>
          <w:szCs w:val="24"/>
          <w:u w:val="single"/>
        </w:rPr>
        <w:t>February 2</w:t>
      </w:r>
      <w:r w:rsidR="00751F71" w:rsidRPr="00D93B48">
        <w:rPr>
          <w:rFonts w:ascii="Times New Roman" w:eastAsia="Times New Roman" w:hAnsi="Times New Roman" w:cs="Times New Roman"/>
          <w:spacing w:val="-3"/>
          <w:sz w:val="24"/>
          <w:szCs w:val="24"/>
          <w:u w:val="single"/>
        </w:rPr>
        <w:t>8</w:t>
      </w:r>
      <w:r w:rsidR="001B5C4F" w:rsidRPr="00D93B48">
        <w:rPr>
          <w:rFonts w:ascii="Times New Roman" w:eastAsia="Times New Roman" w:hAnsi="Times New Roman" w:cs="Times New Roman"/>
          <w:spacing w:val="-3"/>
          <w:sz w:val="24"/>
          <w:szCs w:val="24"/>
          <w:u w:val="single"/>
        </w:rPr>
        <w:t>,</w:t>
      </w:r>
      <w:r w:rsidRPr="00D93B48">
        <w:rPr>
          <w:rFonts w:ascii="Times New Roman" w:eastAsia="Times New Roman" w:hAnsi="Times New Roman" w:cs="Times New Roman"/>
          <w:spacing w:val="-3"/>
          <w:sz w:val="24"/>
          <w:szCs w:val="24"/>
          <w:u w:val="single"/>
        </w:rPr>
        <w:t xml:space="preserve"> 2024</w:t>
      </w:r>
      <w:r w:rsidRPr="00D93B48">
        <w:rPr>
          <w:rFonts w:ascii="Times New Roman" w:eastAsia="Times New Roman" w:hAnsi="Times New Roman" w:cs="Times New Roman"/>
          <w:spacing w:val="-3"/>
          <w:sz w:val="24"/>
          <w:szCs w:val="24"/>
        </w:rPr>
        <w:tab/>
      </w:r>
      <w:r w:rsidRPr="00D93B48">
        <w:rPr>
          <w:rFonts w:ascii="Times New Roman" w:eastAsia="Times New Roman" w:hAnsi="Times New Roman" w:cs="Times New Roman"/>
          <w:spacing w:val="-3"/>
          <w:sz w:val="24"/>
          <w:szCs w:val="24"/>
          <w:u w:val="single"/>
        </w:rPr>
        <w:tab/>
      </w:r>
      <w:r w:rsidRPr="00D93B48">
        <w:rPr>
          <w:rFonts w:ascii="Times New Roman" w:eastAsia="Times New Roman" w:hAnsi="Times New Roman" w:cs="Times New Roman"/>
          <w:spacing w:val="-3"/>
          <w:sz w:val="24"/>
          <w:szCs w:val="24"/>
          <w:u w:val="single"/>
        </w:rPr>
        <w:tab/>
        <w:t>/s/</w:t>
      </w:r>
      <w:r w:rsidRPr="00D93B48">
        <w:rPr>
          <w:rFonts w:ascii="Times New Roman" w:eastAsia="Times New Roman" w:hAnsi="Times New Roman" w:cs="Times New Roman"/>
          <w:spacing w:val="-3"/>
          <w:sz w:val="24"/>
          <w:szCs w:val="24"/>
          <w:u w:val="single"/>
        </w:rPr>
        <w:tab/>
      </w:r>
      <w:r w:rsidRPr="00D93B48">
        <w:rPr>
          <w:rFonts w:ascii="Times New Roman" w:eastAsia="Times New Roman" w:hAnsi="Times New Roman" w:cs="Times New Roman"/>
          <w:spacing w:val="-3"/>
          <w:sz w:val="24"/>
          <w:szCs w:val="24"/>
          <w:u w:val="single"/>
        </w:rPr>
        <w:tab/>
      </w:r>
      <w:r w:rsidRPr="00D93B48">
        <w:rPr>
          <w:rFonts w:ascii="Times New Roman" w:eastAsia="Times New Roman" w:hAnsi="Times New Roman" w:cs="Times New Roman"/>
          <w:spacing w:val="-3"/>
          <w:sz w:val="24"/>
          <w:szCs w:val="24"/>
          <w:u w:val="single"/>
        </w:rPr>
        <w:tab/>
      </w:r>
    </w:p>
    <w:p w14:paraId="3BA87528" w14:textId="77777777" w:rsidR="00F43C78" w:rsidRPr="00D93B48" w:rsidRDefault="00F43C78" w:rsidP="00F43C7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ab/>
      </w:r>
      <w:r w:rsidRPr="00D93B48">
        <w:rPr>
          <w:rFonts w:ascii="Times New Roman" w:eastAsia="Times New Roman" w:hAnsi="Times New Roman" w:cs="Times New Roman"/>
          <w:spacing w:val="-3"/>
          <w:sz w:val="24"/>
          <w:szCs w:val="24"/>
        </w:rPr>
        <w:tab/>
        <w:t>Eranda Vero</w:t>
      </w:r>
    </w:p>
    <w:p w14:paraId="48A35CD1" w14:textId="77777777" w:rsidR="00F43C78" w:rsidRPr="00D93B48" w:rsidRDefault="00F43C78" w:rsidP="00F43C7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tab/>
      </w:r>
      <w:r w:rsidRPr="00D93B48">
        <w:rPr>
          <w:rFonts w:ascii="Times New Roman" w:eastAsia="Times New Roman" w:hAnsi="Times New Roman" w:cs="Times New Roman"/>
          <w:spacing w:val="-3"/>
          <w:sz w:val="24"/>
          <w:szCs w:val="24"/>
        </w:rPr>
        <w:tab/>
        <w:t>Administrative Law Judge</w:t>
      </w:r>
    </w:p>
    <w:p w14:paraId="3E2C9D3C" w14:textId="4B988D88" w:rsidR="00751F71" w:rsidRPr="00D93B48" w:rsidRDefault="00751F71">
      <w:pPr>
        <w:rPr>
          <w:rFonts w:ascii="Times New Roman" w:eastAsia="Times New Roman" w:hAnsi="Times New Roman" w:cs="Times New Roman"/>
          <w:spacing w:val="-3"/>
          <w:sz w:val="24"/>
          <w:szCs w:val="24"/>
        </w:rPr>
      </w:pPr>
      <w:r w:rsidRPr="00D93B48">
        <w:rPr>
          <w:rFonts w:ascii="Times New Roman" w:eastAsia="Times New Roman" w:hAnsi="Times New Roman" w:cs="Times New Roman"/>
          <w:spacing w:val="-3"/>
          <w:sz w:val="24"/>
          <w:szCs w:val="24"/>
        </w:rPr>
        <w:br w:type="page"/>
      </w:r>
    </w:p>
    <w:p w14:paraId="0392376A" w14:textId="77777777" w:rsidR="00751F71" w:rsidRPr="00D93B48" w:rsidRDefault="00751F71" w:rsidP="00D93B48">
      <w:pPr>
        <w:pStyle w:val="NoSpacing"/>
        <w:rPr>
          <w:rFonts w:ascii="Times New Roman" w:hAnsi="Times New Roman" w:cs="Times New Roman"/>
          <w:b/>
          <w:bCs/>
          <w:sz w:val="24"/>
          <w:szCs w:val="24"/>
          <w:u w:val="single"/>
        </w:rPr>
      </w:pPr>
      <w:r w:rsidRPr="00D93B48">
        <w:rPr>
          <w:rFonts w:ascii="Times New Roman" w:hAnsi="Times New Roman" w:cs="Times New Roman"/>
          <w:b/>
          <w:bCs/>
          <w:sz w:val="24"/>
          <w:szCs w:val="24"/>
          <w:u w:val="single"/>
        </w:rPr>
        <w:lastRenderedPageBreak/>
        <w:t>C-2023-3043975 - CHRISTOPHER COE v. PHILADELPHIA GAS WORKS</w:t>
      </w:r>
    </w:p>
    <w:p w14:paraId="1B648167" w14:textId="77777777" w:rsidR="00751F71" w:rsidRDefault="00751F71" w:rsidP="00D93B48">
      <w:pPr>
        <w:pStyle w:val="NoSpacing"/>
        <w:rPr>
          <w:rFonts w:ascii="Times New Roman" w:hAnsi="Times New Roman" w:cs="Times New Roman"/>
          <w:sz w:val="24"/>
          <w:szCs w:val="24"/>
        </w:rPr>
      </w:pPr>
    </w:p>
    <w:p w14:paraId="2EE71336" w14:textId="77777777" w:rsidR="00D93B48" w:rsidRPr="00D93B48" w:rsidRDefault="00D93B48" w:rsidP="00D93B48">
      <w:pPr>
        <w:pStyle w:val="NoSpacing"/>
        <w:rPr>
          <w:rFonts w:ascii="Times New Roman" w:hAnsi="Times New Roman" w:cs="Times New Roman"/>
          <w:sz w:val="24"/>
          <w:szCs w:val="24"/>
        </w:rPr>
      </w:pPr>
    </w:p>
    <w:p w14:paraId="79C5001E" w14:textId="77777777" w:rsidR="00751F71" w:rsidRPr="00D93B48" w:rsidRDefault="00751F71" w:rsidP="00D93B48">
      <w:pPr>
        <w:pStyle w:val="NoSpacing"/>
        <w:rPr>
          <w:rFonts w:ascii="Times New Roman" w:hAnsi="Times New Roman" w:cs="Times New Roman"/>
          <w:sz w:val="24"/>
          <w:szCs w:val="24"/>
        </w:rPr>
      </w:pPr>
      <w:r w:rsidRPr="00D93B48">
        <w:rPr>
          <w:rFonts w:ascii="Times New Roman" w:hAnsi="Times New Roman" w:cs="Times New Roman"/>
          <w:sz w:val="24"/>
          <w:szCs w:val="24"/>
        </w:rPr>
        <w:t>CHRISTOPHER COE</w:t>
      </w:r>
    </w:p>
    <w:p w14:paraId="15A2657A" w14:textId="77777777" w:rsidR="00751F71" w:rsidRPr="00D93B48" w:rsidRDefault="00751F71" w:rsidP="00D93B48">
      <w:pPr>
        <w:pStyle w:val="NoSpacing"/>
        <w:rPr>
          <w:rFonts w:ascii="Times New Roman" w:hAnsi="Times New Roman" w:cs="Times New Roman"/>
          <w:sz w:val="24"/>
          <w:szCs w:val="24"/>
        </w:rPr>
      </w:pPr>
      <w:r w:rsidRPr="00D93B48">
        <w:rPr>
          <w:rFonts w:ascii="Times New Roman" w:hAnsi="Times New Roman" w:cs="Times New Roman"/>
          <w:sz w:val="24"/>
          <w:szCs w:val="24"/>
        </w:rPr>
        <w:t>879 BROOKLYN STREET</w:t>
      </w:r>
    </w:p>
    <w:p w14:paraId="121BC66D" w14:textId="77777777" w:rsidR="00751F71" w:rsidRPr="00D93B48" w:rsidRDefault="00751F71" w:rsidP="00D93B48">
      <w:pPr>
        <w:pStyle w:val="NoSpacing"/>
        <w:rPr>
          <w:rFonts w:ascii="Times New Roman" w:hAnsi="Times New Roman" w:cs="Times New Roman"/>
          <w:sz w:val="24"/>
          <w:szCs w:val="24"/>
        </w:rPr>
      </w:pPr>
      <w:r w:rsidRPr="00D93B48">
        <w:rPr>
          <w:rFonts w:ascii="Times New Roman" w:hAnsi="Times New Roman" w:cs="Times New Roman"/>
          <w:sz w:val="24"/>
          <w:szCs w:val="24"/>
        </w:rPr>
        <w:t>PHILADELPHIA PA  19104</w:t>
      </w:r>
    </w:p>
    <w:p w14:paraId="4E97F38D" w14:textId="77777777" w:rsidR="00751F71" w:rsidRPr="00D93B48" w:rsidRDefault="00751F71" w:rsidP="00D93B48">
      <w:pPr>
        <w:pStyle w:val="NoSpacing"/>
        <w:rPr>
          <w:rFonts w:ascii="Times New Roman" w:hAnsi="Times New Roman" w:cs="Times New Roman"/>
          <w:bCs/>
          <w:sz w:val="24"/>
          <w:szCs w:val="24"/>
        </w:rPr>
      </w:pPr>
      <w:r w:rsidRPr="00D93B48">
        <w:rPr>
          <w:rFonts w:ascii="Times New Roman" w:hAnsi="Times New Roman" w:cs="Times New Roman"/>
          <w:bCs/>
          <w:sz w:val="24"/>
          <w:szCs w:val="24"/>
        </w:rPr>
        <w:t>215.758.6309</w:t>
      </w:r>
    </w:p>
    <w:p w14:paraId="36674BA7" w14:textId="77777777" w:rsidR="00751F71" w:rsidRPr="00D93B48" w:rsidRDefault="00751F71" w:rsidP="00D93B48">
      <w:pPr>
        <w:pStyle w:val="NoSpacing"/>
        <w:rPr>
          <w:rFonts w:ascii="Times New Roman" w:hAnsi="Times New Roman" w:cs="Times New Roman"/>
          <w:sz w:val="24"/>
          <w:szCs w:val="24"/>
        </w:rPr>
      </w:pPr>
      <w:r w:rsidRPr="00D93B48">
        <w:rPr>
          <w:rFonts w:ascii="Times New Roman" w:hAnsi="Times New Roman" w:cs="Times New Roman"/>
          <w:sz w:val="24"/>
          <w:szCs w:val="24"/>
        </w:rPr>
        <w:t>Cicobooking@gmail.com</w:t>
      </w:r>
    </w:p>
    <w:p w14:paraId="33CE20EF" w14:textId="77777777" w:rsidR="00751F71" w:rsidRPr="00D93B48" w:rsidRDefault="00751F71" w:rsidP="00D93B48">
      <w:pPr>
        <w:pStyle w:val="NoSpacing"/>
        <w:rPr>
          <w:rFonts w:ascii="Times New Roman" w:hAnsi="Times New Roman" w:cs="Times New Roman"/>
          <w:sz w:val="24"/>
          <w:szCs w:val="24"/>
        </w:rPr>
      </w:pPr>
      <w:r w:rsidRPr="00D93B48">
        <w:rPr>
          <w:rFonts w:ascii="Times New Roman" w:hAnsi="Times New Roman" w:cs="Times New Roman"/>
          <w:sz w:val="24"/>
          <w:szCs w:val="24"/>
        </w:rPr>
        <w:t>Accepts eService</w:t>
      </w:r>
    </w:p>
    <w:p w14:paraId="4A356B0C" w14:textId="77777777" w:rsidR="00D93B48" w:rsidRPr="00D93B48" w:rsidRDefault="00D93B48" w:rsidP="00D93B48">
      <w:pPr>
        <w:pStyle w:val="NoSpacing"/>
        <w:rPr>
          <w:rFonts w:ascii="Times New Roman" w:hAnsi="Times New Roman" w:cs="Times New Roman"/>
          <w:sz w:val="24"/>
          <w:szCs w:val="24"/>
        </w:rPr>
      </w:pPr>
    </w:p>
    <w:p w14:paraId="05D22D72" w14:textId="77777777" w:rsidR="00751F71" w:rsidRPr="00D93B48" w:rsidRDefault="00751F71" w:rsidP="00D93B48">
      <w:pPr>
        <w:pStyle w:val="NoSpacing"/>
        <w:rPr>
          <w:rFonts w:ascii="Times New Roman" w:hAnsi="Times New Roman" w:cs="Times New Roman"/>
          <w:sz w:val="24"/>
          <w:szCs w:val="24"/>
        </w:rPr>
      </w:pPr>
      <w:r w:rsidRPr="00D93B48">
        <w:rPr>
          <w:rFonts w:ascii="Times New Roman" w:hAnsi="Times New Roman" w:cs="Times New Roman"/>
          <w:sz w:val="24"/>
          <w:szCs w:val="24"/>
        </w:rPr>
        <w:t>GRACIELA CHRISTLIEB ESQUIRE</w:t>
      </w:r>
    </w:p>
    <w:p w14:paraId="6B261FDD" w14:textId="77777777" w:rsidR="00751F71" w:rsidRPr="00D93B48" w:rsidRDefault="00751F71" w:rsidP="00D93B48">
      <w:pPr>
        <w:pStyle w:val="NoSpacing"/>
        <w:rPr>
          <w:rFonts w:ascii="Times New Roman" w:hAnsi="Times New Roman" w:cs="Times New Roman"/>
          <w:sz w:val="24"/>
          <w:szCs w:val="24"/>
        </w:rPr>
      </w:pPr>
      <w:r w:rsidRPr="00D93B48">
        <w:rPr>
          <w:rFonts w:ascii="Times New Roman" w:hAnsi="Times New Roman" w:cs="Times New Roman"/>
          <w:sz w:val="24"/>
          <w:szCs w:val="24"/>
        </w:rPr>
        <w:t>PHILADELPHIA GAS WORKS</w:t>
      </w:r>
    </w:p>
    <w:p w14:paraId="30A15CFE" w14:textId="77777777" w:rsidR="00751F71" w:rsidRPr="00D93B48" w:rsidRDefault="00751F71" w:rsidP="00D93B48">
      <w:pPr>
        <w:pStyle w:val="NoSpacing"/>
        <w:rPr>
          <w:rFonts w:ascii="Times New Roman" w:hAnsi="Times New Roman" w:cs="Times New Roman"/>
          <w:sz w:val="24"/>
          <w:szCs w:val="24"/>
        </w:rPr>
      </w:pPr>
      <w:r w:rsidRPr="00D93B48">
        <w:rPr>
          <w:rFonts w:ascii="Times New Roman" w:hAnsi="Times New Roman" w:cs="Times New Roman"/>
          <w:sz w:val="24"/>
          <w:szCs w:val="24"/>
        </w:rPr>
        <w:t>800 WEST MONTGOMERY AVE</w:t>
      </w:r>
    </w:p>
    <w:p w14:paraId="397951EB" w14:textId="77777777" w:rsidR="00751F71" w:rsidRPr="00D93B48" w:rsidRDefault="00751F71" w:rsidP="00D93B48">
      <w:pPr>
        <w:pStyle w:val="NoSpacing"/>
        <w:rPr>
          <w:rFonts w:ascii="Times New Roman" w:hAnsi="Times New Roman" w:cs="Times New Roman"/>
          <w:sz w:val="24"/>
          <w:szCs w:val="24"/>
        </w:rPr>
      </w:pPr>
      <w:r w:rsidRPr="00D93B48">
        <w:rPr>
          <w:rFonts w:ascii="Times New Roman" w:hAnsi="Times New Roman" w:cs="Times New Roman"/>
          <w:sz w:val="24"/>
          <w:szCs w:val="24"/>
        </w:rPr>
        <w:t>PHILADELPHIA PA  19122</w:t>
      </w:r>
    </w:p>
    <w:p w14:paraId="7E486F72" w14:textId="77777777" w:rsidR="00751F71" w:rsidRPr="00D93B48" w:rsidRDefault="00751F71" w:rsidP="00D93B48">
      <w:pPr>
        <w:pStyle w:val="NoSpacing"/>
        <w:rPr>
          <w:rFonts w:ascii="Times New Roman" w:hAnsi="Times New Roman" w:cs="Times New Roman"/>
          <w:bCs/>
          <w:sz w:val="24"/>
          <w:szCs w:val="24"/>
        </w:rPr>
      </w:pPr>
      <w:r w:rsidRPr="00D93B48">
        <w:rPr>
          <w:rFonts w:ascii="Times New Roman" w:hAnsi="Times New Roman" w:cs="Times New Roman"/>
          <w:bCs/>
          <w:sz w:val="24"/>
          <w:szCs w:val="24"/>
        </w:rPr>
        <w:t>215.684.6164</w:t>
      </w:r>
    </w:p>
    <w:p w14:paraId="3BE868C4" w14:textId="77777777" w:rsidR="00751F71" w:rsidRPr="00D93B48" w:rsidRDefault="00751F71" w:rsidP="00D93B48">
      <w:pPr>
        <w:pStyle w:val="NoSpacing"/>
        <w:rPr>
          <w:rFonts w:ascii="Times New Roman" w:hAnsi="Times New Roman" w:cs="Times New Roman"/>
          <w:sz w:val="24"/>
          <w:szCs w:val="24"/>
        </w:rPr>
      </w:pPr>
      <w:r w:rsidRPr="00D93B48">
        <w:rPr>
          <w:rFonts w:ascii="Times New Roman" w:hAnsi="Times New Roman" w:cs="Times New Roman"/>
          <w:sz w:val="24"/>
          <w:szCs w:val="24"/>
        </w:rPr>
        <w:t>Graciela.Christlieb@pgworks.com</w:t>
      </w:r>
    </w:p>
    <w:p w14:paraId="5E0806E3" w14:textId="77777777" w:rsidR="00751F71" w:rsidRPr="00D93B48" w:rsidRDefault="00751F71" w:rsidP="00D93B48">
      <w:pPr>
        <w:pStyle w:val="NoSpacing"/>
        <w:rPr>
          <w:rFonts w:ascii="Times New Roman" w:hAnsi="Times New Roman" w:cs="Times New Roman"/>
          <w:sz w:val="24"/>
          <w:szCs w:val="24"/>
        </w:rPr>
      </w:pPr>
      <w:r w:rsidRPr="00D93B48">
        <w:rPr>
          <w:rFonts w:ascii="Times New Roman" w:hAnsi="Times New Roman" w:cs="Times New Roman"/>
          <w:sz w:val="24"/>
          <w:szCs w:val="24"/>
        </w:rPr>
        <w:t>Accepts eService</w:t>
      </w:r>
    </w:p>
    <w:p w14:paraId="367A730C" w14:textId="77777777" w:rsidR="00F43C78" w:rsidRPr="00D93B48" w:rsidRDefault="00F43C78" w:rsidP="00F43C78">
      <w:pPr>
        <w:spacing w:after="0" w:line="240" w:lineRule="auto"/>
        <w:rPr>
          <w:rFonts w:ascii="Times New Roman" w:eastAsia="Times New Roman" w:hAnsi="Times New Roman" w:cs="Times New Roman"/>
          <w:spacing w:val="-3"/>
          <w:sz w:val="24"/>
          <w:szCs w:val="24"/>
        </w:rPr>
      </w:pPr>
    </w:p>
    <w:p w14:paraId="5098E26F" w14:textId="77777777" w:rsidR="00F43C78" w:rsidRPr="00D93B48" w:rsidRDefault="00F43C78" w:rsidP="00F43C78">
      <w:pPr>
        <w:rPr>
          <w:rFonts w:ascii="Times New Roman" w:hAnsi="Times New Roman" w:cs="Times New Roman"/>
          <w:sz w:val="24"/>
          <w:szCs w:val="24"/>
        </w:rPr>
      </w:pPr>
    </w:p>
    <w:p w14:paraId="2F9961AA" w14:textId="77777777" w:rsidR="00D33C04" w:rsidRPr="00D93B48" w:rsidRDefault="00D33C04">
      <w:pPr>
        <w:rPr>
          <w:rFonts w:ascii="Times New Roman" w:hAnsi="Times New Roman" w:cs="Times New Roman"/>
          <w:sz w:val="24"/>
          <w:szCs w:val="24"/>
        </w:rPr>
      </w:pPr>
    </w:p>
    <w:sectPr w:rsidR="00D33C04" w:rsidRPr="00D93B48" w:rsidSect="00C0350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CB82" w14:textId="77777777" w:rsidR="00C03502" w:rsidRDefault="00C03502" w:rsidP="00F43C78">
      <w:pPr>
        <w:spacing w:after="0" w:line="240" w:lineRule="auto"/>
      </w:pPr>
      <w:r>
        <w:separator/>
      </w:r>
    </w:p>
  </w:endnote>
  <w:endnote w:type="continuationSeparator" w:id="0">
    <w:p w14:paraId="5812B776" w14:textId="77777777" w:rsidR="00C03502" w:rsidRDefault="00C03502" w:rsidP="00F4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548100"/>
      <w:docPartObj>
        <w:docPartGallery w:val="Page Numbers (Bottom of Page)"/>
        <w:docPartUnique/>
      </w:docPartObj>
    </w:sdtPr>
    <w:sdtEndPr>
      <w:rPr>
        <w:rFonts w:ascii="Times New Roman" w:hAnsi="Times New Roman" w:cs="Times New Roman"/>
        <w:noProof/>
        <w:sz w:val="20"/>
        <w:szCs w:val="20"/>
      </w:rPr>
    </w:sdtEndPr>
    <w:sdtContent>
      <w:p w14:paraId="47328994" w14:textId="78441C19" w:rsidR="00534093" w:rsidRPr="00466117" w:rsidRDefault="00534093">
        <w:pPr>
          <w:pStyle w:val="Footer"/>
          <w:jc w:val="center"/>
          <w:rPr>
            <w:rFonts w:ascii="Times New Roman" w:hAnsi="Times New Roman" w:cs="Times New Roman"/>
            <w:sz w:val="20"/>
            <w:szCs w:val="20"/>
          </w:rPr>
        </w:pPr>
        <w:r w:rsidRPr="00466117">
          <w:rPr>
            <w:rFonts w:ascii="Times New Roman" w:hAnsi="Times New Roman" w:cs="Times New Roman"/>
            <w:sz w:val="20"/>
            <w:szCs w:val="20"/>
          </w:rPr>
          <w:fldChar w:fldCharType="begin"/>
        </w:r>
        <w:r w:rsidRPr="00466117">
          <w:rPr>
            <w:rFonts w:ascii="Times New Roman" w:hAnsi="Times New Roman" w:cs="Times New Roman"/>
            <w:sz w:val="20"/>
            <w:szCs w:val="20"/>
          </w:rPr>
          <w:instrText xml:space="preserve"> PAGE   \* MERGEFORMAT </w:instrText>
        </w:r>
        <w:r w:rsidRPr="00466117">
          <w:rPr>
            <w:rFonts w:ascii="Times New Roman" w:hAnsi="Times New Roman" w:cs="Times New Roman"/>
            <w:sz w:val="20"/>
            <w:szCs w:val="20"/>
          </w:rPr>
          <w:fldChar w:fldCharType="separate"/>
        </w:r>
        <w:r w:rsidRPr="00466117">
          <w:rPr>
            <w:rFonts w:ascii="Times New Roman" w:hAnsi="Times New Roman" w:cs="Times New Roman"/>
            <w:noProof/>
            <w:sz w:val="20"/>
            <w:szCs w:val="20"/>
          </w:rPr>
          <w:t>2</w:t>
        </w:r>
        <w:r w:rsidRPr="00466117">
          <w:rPr>
            <w:rFonts w:ascii="Times New Roman" w:hAnsi="Times New Roman" w:cs="Times New Roman"/>
            <w:noProof/>
            <w:sz w:val="20"/>
            <w:szCs w:val="20"/>
          </w:rPr>
          <w:fldChar w:fldCharType="end"/>
        </w:r>
      </w:p>
    </w:sdtContent>
  </w:sdt>
  <w:p w14:paraId="14EE446B" w14:textId="77777777" w:rsidR="00534093" w:rsidRDefault="00534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FCCA3" w14:textId="77777777" w:rsidR="00C03502" w:rsidRDefault="00C03502" w:rsidP="00F43C78">
      <w:pPr>
        <w:spacing w:after="0" w:line="240" w:lineRule="auto"/>
      </w:pPr>
      <w:r>
        <w:separator/>
      </w:r>
    </w:p>
  </w:footnote>
  <w:footnote w:type="continuationSeparator" w:id="0">
    <w:p w14:paraId="03129728" w14:textId="77777777" w:rsidR="00C03502" w:rsidRDefault="00C03502" w:rsidP="00F43C78">
      <w:pPr>
        <w:spacing w:after="0" w:line="240" w:lineRule="auto"/>
      </w:pPr>
      <w:r>
        <w:continuationSeparator/>
      </w:r>
    </w:p>
  </w:footnote>
  <w:footnote w:id="1">
    <w:p w14:paraId="2AFEC69C" w14:textId="66F584EA" w:rsidR="00D15F9D" w:rsidRDefault="00D15F9D" w:rsidP="00B140C7">
      <w:pPr>
        <w:spacing w:after="0" w:line="240" w:lineRule="auto"/>
        <w:ind w:firstLine="720"/>
        <w:rPr>
          <w:rFonts w:ascii="Times New Roman" w:eastAsia="Times New Roman" w:hAnsi="Times New Roman" w:cs="Times New Roman"/>
          <w:sz w:val="24"/>
          <w:szCs w:val="24"/>
        </w:rPr>
      </w:pPr>
      <w:r>
        <w:rPr>
          <w:rStyle w:val="FootnoteReference"/>
        </w:rPr>
        <w:footnoteRef/>
      </w:r>
      <w:r>
        <w:t xml:space="preserve"> </w:t>
      </w:r>
      <w:r>
        <w:tab/>
      </w:r>
      <w:r w:rsidRPr="00D15F9D">
        <w:rPr>
          <w:rFonts w:ascii="Times New Roman" w:eastAsia="Times New Roman" w:hAnsi="Times New Roman" w:cs="Times New Roman"/>
          <w:sz w:val="20"/>
          <w:szCs w:val="20"/>
        </w:rPr>
        <w:t xml:space="preserve">52 </w:t>
      </w:r>
      <w:proofErr w:type="spellStart"/>
      <w:r w:rsidRPr="00D15F9D">
        <w:rPr>
          <w:rFonts w:ascii="Times New Roman" w:eastAsia="Times New Roman" w:hAnsi="Times New Roman" w:cs="Times New Roman"/>
          <w:sz w:val="20"/>
          <w:szCs w:val="20"/>
        </w:rPr>
        <w:t>Pa.Code</w:t>
      </w:r>
      <w:proofErr w:type="spellEnd"/>
      <w:r w:rsidRPr="00D15F9D">
        <w:rPr>
          <w:rFonts w:ascii="Times New Roman" w:eastAsia="Times New Roman" w:hAnsi="Times New Roman" w:cs="Times New Roman"/>
          <w:sz w:val="20"/>
          <w:szCs w:val="20"/>
        </w:rPr>
        <w:t xml:space="preserve"> § 5.101.</w:t>
      </w:r>
      <w:r w:rsidR="006D3FC7">
        <w:rPr>
          <w:rFonts w:ascii="Times New Roman" w:eastAsia="Times New Roman" w:hAnsi="Times New Roman" w:cs="Times New Roman"/>
          <w:sz w:val="20"/>
          <w:szCs w:val="20"/>
        </w:rPr>
        <w:t xml:space="preserve"> (Emphasis added).</w:t>
      </w:r>
    </w:p>
    <w:p w14:paraId="2B404344" w14:textId="0B161D5A" w:rsidR="00D15F9D" w:rsidRDefault="00D15F9D" w:rsidP="00B140C7">
      <w:pPr>
        <w:pStyle w:val="FootnoteText"/>
        <w:ind w:firstLine="720"/>
      </w:pPr>
    </w:p>
  </w:footnote>
  <w:footnote w:id="2">
    <w:p w14:paraId="0C6FC86E" w14:textId="77777777" w:rsidR="00D15F9D" w:rsidRPr="002F4173" w:rsidRDefault="00D15F9D" w:rsidP="00B140C7">
      <w:pPr>
        <w:pStyle w:val="FootnoteText"/>
        <w:ind w:firstLine="720"/>
        <w:rPr>
          <w:rFonts w:ascii="Times New Roman" w:hAnsi="Times New Roman" w:cs="Times New Roman"/>
        </w:rPr>
      </w:pPr>
      <w:r w:rsidRPr="002F4173">
        <w:rPr>
          <w:rStyle w:val="FootnoteReference"/>
          <w:rFonts w:ascii="Times New Roman" w:hAnsi="Times New Roman" w:cs="Times New Roman"/>
        </w:rPr>
        <w:footnoteRef/>
      </w:r>
      <w:r w:rsidRPr="002F4173">
        <w:rPr>
          <w:rFonts w:ascii="Times New Roman" w:hAnsi="Times New Roman" w:cs="Times New Roman"/>
        </w:rPr>
        <w:t xml:space="preserve"> </w:t>
      </w:r>
      <w:r w:rsidRPr="002F4173">
        <w:rPr>
          <w:rFonts w:ascii="Times New Roman" w:hAnsi="Times New Roman" w:cs="Times New Roman"/>
        </w:rPr>
        <w:tab/>
      </w:r>
      <w:r w:rsidRPr="002F4173">
        <w:rPr>
          <w:rFonts w:ascii="Times New Roman" w:hAnsi="Times New Roman" w:cs="Times New Roman"/>
          <w:i/>
          <w:iCs/>
        </w:rPr>
        <w:t xml:space="preserve">County of Allegheny v. </w:t>
      </w:r>
      <w:proofErr w:type="spellStart"/>
      <w:r w:rsidRPr="002F4173">
        <w:rPr>
          <w:rFonts w:ascii="Times New Roman" w:hAnsi="Times New Roman" w:cs="Times New Roman"/>
          <w:i/>
          <w:iCs/>
        </w:rPr>
        <w:t>Cmwlth</w:t>
      </w:r>
      <w:proofErr w:type="spellEnd"/>
      <w:r w:rsidRPr="002F4173">
        <w:rPr>
          <w:rFonts w:ascii="Times New Roman" w:hAnsi="Times New Roman" w:cs="Times New Roman"/>
          <w:i/>
          <w:iCs/>
        </w:rPr>
        <w:t>. of Pa.</w:t>
      </w:r>
      <w:r w:rsidRPr="002F4173">
        <w:rPr>
          <w:rFonts w:ascii="Times New Roman" w:hAnsi="Times New Roman" w:cs="Times New Roman"/>
        </w:rPr>
        <w:t>, 490 A.2d 402 (Pa. 1985).</w:t>
      </w:r>
    </w:p>
    <w:p w14:paraId="3768DE7B" w14:textId="77777777" w:rsidR="00D15F9D" w:rsidRPr="002F4173" w:rsidRDefault="00D15F9D" w:rsidP="00B140C7">
      <w:pPr>
        <w:pStyle w:val="FootnoteText"/>
        <w:ind w:firstLine="720"/>
        <w:rPr>
          <w:rFonts w:ascii="Times New Roman" w:hAnsi="Times New Roman" w:cs="Times New Roman"/>
        </w:rPr>
      </w:pPr>
    </w:p>
  </w:footnote>
  <w:footnote w:id="3">
    <w:p w14:paraId="4D2BE934" w14:textId="77777777" w:rsidR="00D15F9D" w:rsidRPr="002F4173" w:rsidRDefault="00D15F9D" w:rsidP="00B140C7">
      <w:pPr>
        <w:pStyle w:val="FootnoteText"/>
        <w:ind w:firstLine="720"/>
        <w:rPr>
          <w:rFonts w:ascii="Times New Roman" w:hAnsi="Times New Roman" w:cs="Times New Roman"/>
        </w:rPr>
      </w:pPr>
      <w:r w:rsidRPr="002F4173">
        <w:rPr>
          <w:rStyle w:val="FootnoteReference"/>
          <w:rFonts w:ascii="Times New Roman" w:hAnsi="Times New Roman" w:cs="Times New Roman"/>
        </w:rPr>
        <w:footnoteRef/>
      </w:r>
      <w:r w:rsidRPr="002F4173">
        <w:rPr>
          <w:rFonts w:ascii="Times New Roman" w:hAnsi="Times New Roman" w:cs="Times New Roman"/>
        </w:rPr>
        <w:t xml:space="preserve"> </w:t>
      </w:r>
      <w:r w:rsidRPr="002F4173">
        <w:rPr>
          <w:rFonts w:ascii="Times New Roman" w:hAnsi="Times New Roman" w:cs="Times New Roman"/>
        </w:rPr>
        <w:tab/>
      </w:r>
      <w:r w:rsidRPr="002F4173">
        <w:rPr>
          <w:rFonts w:ascii="Times New Roman" w:hAnsi="Times New Roman" w:cs="Times New Roman"/>
          <w:i/>
          <w:iCs/>
        </w:rPr>
        <w:t xml:space="preserve">Stanton-Negley Drug Co. v. </w:t>
      </w:r>
      <w:proofErr w:type="spellStart"/>
      <w:r w:rsidRPr="002F4173">
        <w:rPr>
          <w:rFonts w:ascii="Times New Roman" w:hAnsi="Times New Roman" w:cs="Times New Roman"/>
          <w:i/>
          <w:iCs/>
        </w:rPr>
        <w:t>Dep’t</w:t>
      </w:r>
      <w:proofErr w:type="spellEnd"/>
      <w:r w:rsidRPr="002F4173">
        <w:rPr>
          <w:rFonts w:ascii="Times New Roman" w:hAnsi="Times New Roman" w:cs="Times New Roman"/>
          <w:i/>
          <w:iCs/>
        </w:rPr>
        <w:t xml:space="preserve"> of Pub. Welfare</w:t>
      </w:r>
      <w:r w:rsidRPr="002F4173">
        <w:rPr>
          <w:rFonts w:ascii="Times New Roman" w:hAnsi="Times New Roman" w:cs="Times New Roman"/>
        </w:rPr>
        <w:t xml:space="preserve">, 927 A.2d 671, 673 (Pa. </w:t>
      </w:r>
      <w:proofErr w:type="spellStart"/>
      <w:r w:rsidRPr="002F4173">
        <w:rPr>
          <w:rFonts w:ascii="Times New Roman" w:hAnsi="Times New Roman" w:cs="Times New Roman"/>
        </w:rPr>
        <w:t>Cmwlth</w:t>
      </w:r>
      <w:proofErr w:type="spellEnd"/>
      <w:r w:rsidRPr="002F4173">
        <w:rPr>
          <w:rFonts w:ascii="Times New Roman" w:hAnsi="Times New Roman" w:cs="Times New Roman"/>
        </w:rPr>
        <w:t>. 2007).</w:t>
      </w:r>
    </w:p>
    <w:p w14:paraId="289E4589" w14:textId="77777777" w:rsidR="00D15F9D" w:rsidRPr="002F4173" w:rsidRDefault="00D15F9D" w:rsidP="00B140C7">
      <w:pPr>
        <w:pStyle w:val="FootnoteText"/>
        <w:ind w:firstLine="720"/>
        <w:rPr>
          <w:rFonts w:ascii="Times New Roman" w:hAnsi="Times New Roman" w:cs="Times New Roman"/>
        </w:rPr>
      </w:pPr>
    </w:p>
  </w:footnote>
  <w:footnote w:id="4">
    <w:p w14:paraId="49E914FD" w14:textId="77777777" w:rsidR="0023527B" w:rsidRPr="002F4173" w:rsidRDefault="0023527B" w:rsidP="00B140C7">
      <w:pPr>
        <w:pStyle w:val="FootnoteText"/>
        <w:ind w:firstLine="720"/>
        <w:rPr>
          <w:rFonts w:ascii="Times New Roman" w:hAnsi="Times New Roman" w:cs="Times New Roman"/>
        </w:rPr>
      </w:pPr>
      <w:r w:rsidRPr="002F4173">
        <w:rPr>
          <w:rStyle w:val="FootnoteReference"/>
          <w:rFonts w:ascii="Times New Roman" w:hAnsi="Times New Roman" w:cs="Times New Roman"/>
        </w:rPr>
        <w:footnoteRef/>
      </w:r>
      <w:r w:rsidRPr="002F4173">
        <w:rPr>
          <w:rFonts w:ascii="Times New Roman" w:hAnsi="Times New Roman" w:cs="Times New Roman"/>
        </w:rPr>
        <w:t xml:space="preserve"> </w:t>
      </w:r>
      <w:r w:rsidRPr="002F4173">
        <w:rPr>
          <w:rFonts w:ascii="Times New Roman" w:hAnsi="Times New Roman" w:cs="Times New Roman"/>
        </w:rPr>
        <w:tab/>
        <w:t>52 Pa. Code §§ 5.22(1), (5), (6).</w:t>
      </w:r>
    </w:p>
    <w:p w14:paraId="0DD71BE9" w14:textId="77777777" w:rsidR="0023527B" w:rsidRPr="002F4173" w:rsidRDefault="0023527B" w:rsidP="00B140C7">
      <w:pPr>
        <w:pStyle w:val="FootnoteText"/>
        <w:ind w:firstLine="720"/>
        <w:rPr>
          <w:rFonts w:ascii="Times New Roman" w:hAnsi="Times New Roman" w:cs="Times New Roman"/>
        </w:rPr>
      </w:pPr>
    </w:p>
  </w:footnote>
  <w:footnote w:id="5">
    <w:p w14:paraId="10565FA3" w14:textId="77777777" w:rsidR="0023527B" w:rsidRPr="002F4173" w:rsidRDefault="0023527B" w:rsidP="00B140C7">
      <w:pPr>
        <w:pStyle w:val="FootnoteText"/>
        <w:ind w:firstLine="720"/>
        <w:rPr>
          <w:rFonts w:ascii="Times New Roman" w:hAnsi="Times New Roman" w:cs="Times New Roman"/>
        </w:rPr>
      </w:pPr>
      <w:r w:rsidRPr="002F4173">
        <w:rPr>
          <w:rStyle w:val="FootnoteReference"/>
          <w:rFonts w:ascii="Times New Roman" w:hAnsi="Times New Roman" w:cs="Times New Roman"/>
        </w:rPr>
        <w:footnoteRef/>
      </w:r>
      <w:r w:rsidRPr="002F4173">
        <w:rPr>
          <w:rFonts w:ascii="Times New Roman" w:hAnsi="Times New Roman" w:cs="Times New Roman"/>
        </w:rPr>
        <w:t xml:space="preserve"> </w:t>
      </w:r>
      <w:r w:rsidRPr="002F4173">
        <w:rPr>
          <w:rFonts w:ascii="Times New Roman" w:hAnsi="Times New Roman" w:cs="Times New Roman"/>
        </w:rPr>
        <w:tab/>
      </w:r>
      <w:r w:rsidRPr="002F4173">
        <w:rPr>
          <w:rFonts w:ascii="Times New Roman" w:hAnsi="Times New Roman" w:cs="Times New Roman"/>
          <w:i/>
          <w:iCs/>
        </w:rPr>
        <w:t>Jackson v. Duquesne Light Company</w:t>
      </w:r>
      <w:r w:rsidRPr="002F4173">
        <w:rPr>
          <w:rFonts w:ascii="Times New Roman" w:hAnsi="Times New Roman" w:cs="Times New Roman"/>
        </w:rPr>
        <w:t>, Docket No. C-2018-2644080 (Order entered July 12, 2018, adopting Initial Decision dated May 8, 2018).</w:t>
      </w:r>
    </w:p>
    <w:p w14:paraId="5C9FA736" w14:textId="77777777" w:rsidR="0023527B" w:rsidRPr="002F4173" w:rsidRDefault="0023527B" w:rsidP="0023527B">
      <w:pPr>
        <w:pStyle w:val="FootnoteText"/>
        <w:rPr>
          <w:rFonts w:ascii="Times New Roman" w:hAnsi="Times New Roman" w:cs="Times New Roman"/>
        </w:rPr>
      </w:pPr>
    </w:p>
  </w:footnote>
  <w:footnote w:id="6">
    <w:p w14:paraId="73DEA8E4" w14:textId="30663323" w:rsidR="0023527B" w:rsidRPr="002F4173" w:rsidRDefault="0023527B" w:rsidP="00B140C7">
      <w:pPr>
        <w:pStyle w:val="FootnoteText"/>
        <w:ind w:firstLine="720"/>
        <w:rPr>
          <w:rFonts w:ascii="Times New Roman" w:hAnsi="Times New Roman" w:cs="Times New Roman"/>
        </w:rPr>
      </w:pPr>
      <w:r w:rsidRPr="002F4173">
        <w:rPr>
          <w:rStyle w:val="FootnoteReference"/>
          <w:rFonts w:ascii="Times New Roman" w:hAnsi="Times New Roman" w:cs="Times New Roman"/>
        </w:rPr>
        <w:footnoteRef/>
      </w:r>
      <w:r w:rsidRPr="002F4173">
        <w:rPr>
          <w:rFonts w:ascii="Times New Roman" w:hAnsi="Times New Roman" w:cs="Times New Roman"/>
        </w:rPr>
        <w:t xml:space="preserve"> </w:t>
      </w:r>
      <w:r w:rsidRPr="002F4173">
        <w:rPr>
          <w:rFonts w:ascii="Times New Roman" w:hAnsi="Times New Roman" w:cs="Times New Roman"/>
        </w:rPr>
        <w:tab/>
      </w:r>
      <w:r w:rsidRPr="002F4173">
        <w:rPr>
          <w:rFonts w:ascii="Times New Roman" w:hAnsi="Times New Roman" w:cs="Times New Roman"/>
          <w:i/>
          <w:iCs/>
        </w:rPr>
        <w:t xml:space="preserve">Tod and Lisa </w:t>
      </w:r>
      <w:proofErr w:type="spellStart"/>
      <w:r w:rsidRPr="002F4173">
        <w:rPr>
          <w:rFonts w:ascii="Times New Roman" w:hAnsi="Times New Roman" w:cs="Times New Roman"/>
          <w:i/>
          <w:iCs/>
        </w:rPr>
        <w:t>Shedlosky</w:t>
      </w:r>
      <w:proofErr w:type="spellEnd"/>
      <w:r w:rsidRPr="002F4173">
        <w:rPr>
          <w:rFonts w:ascii="Times New Roman" w:hAnsi="Times New Roman" w:cs="Times New Roman"/>
          <w:i/>
          <w:iCs/>
        </w:rPr>
        <w:t xml:space="preserve"> v. Pennsylvania Electric Co.</w:t>
      </w:r>
      <w:r w:rsidRPr="002F4173">
        <w:rPr>
          <w:rFonts w:ascii="Times New Roman" w:hAnsi="Times New Roman" w:cs="Times New Roman"/>
        </w:rPr>
        <w:t>, Docket No. C-20066937, Opinion and Order (May</w:t>
      </w:r>
      <w:r w:rsidR="00B140C7">
        <w:rPr>
          <w:rFonts w:ascii="Times New Roman" w:hAnsi="Times New Roman" w:cs="Times New Roman"/>
        </w:rPr>
        <w:t> </w:t>
      </w:r>
      <w:r w:rsidRPr="002F4173">
        <w:rPr>
          <w:rFonts w:ascii="Times New Roman" w:hAnsi="Times New Roman" w:cs="Times New Roman"/>
        </w:rPr>
        <w:t xml:space="preserve">28, 2008); </w:t>
      </w:r>
      <w:r w:rsidRPr="002F4173">
        <w:rPr>
          <w:rFonts w:ascii="Times New Roman" w:hAnsi="Times New Roman" w:cs="Times New Roman"/>
          <w:i/>
          <w:iCs/>
        </w:rPr>
        <w:t>Feingold v. Bell Tel. Co. of Pa.</w:t>
      </w:r>
      <w:r w:rsidRPr="002F4173">
        <w:rPr>
          <w:rFonts w:ascii="Times New Roman" w:hAnsi="Times New Roman" w:cs="Times New Roman"/>
        </w:rPr>
        <w:t>, 383 A.2d 791 (Pa. 1977).</w:t>
      </w:r>
    </w:p>
    <w:p w14:paraId="400230B5" w14:textId="77777777" w:rsidR="0023527B" w:rsidRPr="002F4173" w:rsidRDefault="0023527B" w:rsidP="00B140C7">
      <w:pPr>
        <w:pStyle w:val="FootnoteText"/>
        <w:ind w:firstLine="720"/>
        <w:rPr>
          <w:rFonts w:ascii="Times New Roman" w:hAnsi="Times New Roman" w:cs="Times New Roman"/>
        </w:rPr>
      </w:pPr>
    </w:p>
  </w:footnote>
  <w:footnote w:id="7">
    <w:p w14:paraId="2F136F97" w14:textId="77777777" w:rsidR="0023527B" w:rsidRPr="002F4173" w:rsidRDefault="0023527B" w:rsidP="00B140C7">
      <w:pPr>
        <w:pStyle w:val="FootnoteText"/>
        <w:ind w:firstLine="720"/>
        <w:rPr>
          <w:rFonts w:ascii="Times New Roman" w:hAnsi="Times New Roman" w:cs="Times New Roman"/>
        </w:rPr>
      </w:pPr>
      <w:r w:rsidRPr="002F4173">
        <w:rPr>
          <w:rStyle w:val="FootnoteReference"/>
          <w:rFonts w:ascii="Times New Roman" w:hAnsi="Times New Roman" w:cs="Times New Roman"/>
        </w:rPr>
        <w:footnoteRef/>
      </w:r>
      <w:r w:rsidRPr="002F4173">
        <w:rPr>
          <w:rFonts w:ascii="Times New Roman" w:hAnsi="Times New Roman" w:cs="Times New Roman"/>
        </w:rPr>
        <w:t xml:space="preserve"> </w:t>
      </w:r>
      <w:r w:rsidRPr="002F4173">
        <w:rPr>
          <w:rFonts w:ascii="Times New Roman" w:hAnsi="Times New Roman" w:cs="Times New Roman"/>
        </w:rPr>
        <w:tab/>
      </w:r>
      <w:r w:rsidRPr="002F4173">
        <w:rPr>
          <w:rFonts w:ascii="Times New Roman" w:hAnsi="Times New Roman" w:cs="Times New Roman"/>
          <w:i/>
          <w:iCs/>
        </w:rPr>
        <w:t>City of Pittsburgh v. PUC</w:t>
      </w:r>
      <w:r w:rsidRPr="002F4173">
        <w:rPr>
          <w:rFonts w:ascii="Times New Roman" w:hAnsi="Times New Roman" w:cs="Times New Roman"/>
        </w:rPr>
        <w:t>, 43 A.2d 348 (</w:t>
      </w:r>
      <w:proofErr w:type="spellStart"/>
      <w:r w:rsidRPr="002F4173">
        <w:rPr>
          <w:rFonts w:ascii="Times New Roman" w:hAnsi="Times New Roman" w:cs="Times New Roman"/>
        </w:rPr>
        <w:t>Pa.Super</w:t>
      </w:r>
      <w:proofErr w:type="spellEnd"/>
      <w:r w:rsidRPr="002F4173">
        <w:rPr>
          <w:rFonts w:ascii="Times New Roman" w:hAnsi="Times New Roman" w:cs="Times New Roman"/>
        </w:rPr>
        <w:t>. 1945).</w:t>
      </w:r>
    </w:p>
    <w:p w14:paraId="17ACB38C" w14:textId="77777777" w:rsidR="0023527B" w:rsidRPr="002F4173" w:rsidRDefault="0023527B" w:rsidP="00B140C7">
      <w:pPr>
        <w:pStyle w:val="FootnoteText"/>
        <w:ind w:firstLine="720"/>
        <w:rPr>
          <w:rFonts w:ascii="Times New Roman" w:hAnsi="Times New Roman" w:cs="Times New Roman"/>
        </w:rPr>
      </w:pPr>
    </w:p>
  </w:footnote>
  <w:footnote w:id="8">
    <w:p w14:paraId="5770C478" w14:textId="77777777" w:rsidR="0023527B" w:rsidRPr="002F4173" w:rsidRDefault="0023527B" w:rsidP="00B140C7">
      <w:pPr>
        <w:pStyle w:val="FootnoteText"/>
        <w:ind w:firstLine="720"/>
        <w:rPr>
          <w:rFonts w:ascii="Times New Roman" w:hAnsi="Times New Roman" w:cs="Times New Roman"/>
        </w:rPr>
      </w:pPr>
      <w:r w:rsidRPr="002F4173">
        <w:rPr>
          <w:rStyle w:val="FootnoteReference"/>
          <w:rFonts w:ascii="Times New Roman" w:hAnsi="Times New Roman" w:cs="Times New Roman"/>
        </w:rPr>
        <w:footnoteRef/>
      </w:r>
      <w:r w:rsidRPr="002F4173">
        <w:rPr>
          <w:rFonts w:ascii="Times New Roman" w:hAnsi="Times New Roman" w:cs="Times New Roman"/>
        </w:rPr>
        <w:t xml:space="preserve"> </w:t>
      </w:r>
      <w:r w:rsidRPr="002F4173">
        <w:rPr>
          <w:rFonts w:ascii="Times New Roman" w:hAnsi="Times New Roman" w:cs="Times New Roman"/>
        </w:rPr>
        <w:tab/>
      </w:r>
      <w:r w:rsidRPr="002F4173">
        <w:rPr>
          <w:rFonts w:ascii="Times New Roman" w:hAnsi="Times New Roman" w:cs="Times New Roman"/>
          <w:i/>
          <w:iCs/>
        </w:rPr>
        <w:t>Roberts v. Martorano</w:t>
      </w:r>
      <w:r w:rsidRPr="002F4173">
        <w:rPr>
          <w:rFonts w:ascii="Times New Roman" w:hAnsi="Times New Roman" w:cs="Times New Roman"/>
        </w:rPr>
        <w:t>, 235 A.2d 602 (Pa. 1967).</w:t>
      </w:r>
    </w:p>
    <w:p w14:paraId="1C2E1BCB" w14:textId="77777777" w:rsidR="0023527B" w:rsidRPr="002F4173" w:rsidRDefault="0023527B" w:rsidP="0023527B">
      <w:pPr>
        <w:pStyle w:val="FootnoteText"/>
        <w:rPr>
          <w:rFonts w:ascii="Times New Roman" w:hAnsi="Times New Roman" w:cs="Times New Roman"/>
        </w:rPr>
      </w:pPr>
    </w:p>
  </w:footnote>
  <w:footnote w:id="9">
    <w:p w14:paraId="2FECF950" w14:textId="77777777" w:rsidR="0023527B" w:rsidRPr="002F4173" w:rsidRDefault="0023527B" w:rsidP="00B140C7">
      <w:pPr>
        <w:pStyle w:val="FootnoteText"/>
        <w:ind w:firstLine="720"/>
        <w:rPr>
          <w:rFonts w:ascii="Times New Roman" w:hAnsi="Times New Roman" w:cs="Times New Roman"/>
        </w:rPr>
      </w:pPr>
      <w:r w:rsidRPr="002F4173">
        <w:rPr>
          <w:rStyle w:val="FootnoteReference"/>
          <w:rFonts w:ascii="Times New Roman" w:hAnsi="Times New Roman" w:cs="Times New Roman"/>
        </w:rPr>
        <w:footnoteRef/>
      </w:r>
      <w:r w:rsidRPr="002F4173">
        <w:rPr>
          <w:rFonts w:ascii="Times New Roman" w:hAnsi="Times New Roman" w:cs="Times New Roman"/>
        </w:rPr>
        <w:tab/>
      </w:r>
      <w:r w:rsidRPr="002F4173">
        <w:rPr>
          <w:rFonts w:ascii="Times New Roman" w:hAnsi="Times New Roman" w:cs="Times New Roman"/>
          <w:i/>
          <w:iCs/>
        </w:rPr>
        <w:t>Elkin v. Bell Tel. Co. of PA., Co. of Pa. PA</w:t>
      </w:r>
      <w:r w:rsidRPr="002F4173">
        <w:rPr>
          <w:rFonts w:ascii="Times New Roman" w:hAnsi="Times New Roman" w:cs="Times New Roman"/>
        </w:rPr>
        <w:t xml:space="preserve">., 420 A.2d 371 (Pa. 1980); </w:t>
      </w:r>
      <w:r w:rsidRPr="002F4173">
        <w:rPr>
          <w:rFonts w:ascii="Times New Roman" w:hAnsi="Times New Roman" w:cs="Times New Roman"/>
          <w:i/>
          <w:iCs/>
        </w:rPr>
        <w:t>Feingold v. Bell of Pa.</w:t>
      </w:r>
      <w:r w:rsidRPr="002F4173">
        <w:rPr>
          <w:rFonts w:ascii="Times New Roman" w:hAnsi="Times New Roman" w:cs="Times New Roman"/>
        </w:rPr>
        <w:t xml:space="preserve">, 383 A.2d 791 (Pa. 1978); </w:t>
      </w:r>
      <w:r w:rsidRPr="002F4173">
        <w:rPr>
          <w:rFonts w:ascii="Times New Roman" w:hAnsi="Times New Roman" w:cs="Times New Roman"/>
          <w:i/>
          <w:iCs/>
        </w:rPr>
        <w:t>see Nagy v. Bell Tel Co. of PA.</w:t>
      </w:r>
      <w:r w:rsidRPr="002F4173">
        <w:rPr>
          <w:rFonts w:ascii="Times New Roman" w:hAnsi="Times New Roman" w:cs="Times New Roman"/>
        </w:rPr>
        <w:t xml:space="preserve">, 436 A.2d 701(Pa. Super. 1981). </w:t>
      </w:r>
    </w:p>
    <w:p w14:paraId="31253F3D" w14:textId="77777777" w:rsidR="0023527B" w:rsidRPr="002F4173" w:rsidRDefault="0023527B" w:rsidP="0023527B">
      <w:pPr>
        <w:pStyle w:val="FootnoteText"/>
        <w:ind w:firstLine="720"/>
        <w:rPr>
          <w:rFonts w:ascii="Times New Roman" w:hAnsi="Times New Roman" w:cs="Times New Roman"/>
        </w:rPr>
      </w:pPr>
    </w:p>
  </w:footnote>
  <w:footnote w:id="10">
    <w:p w14:paraId="77C9E7F1" w14:textId="7CABCA7D" w:rsidR="00960B78" w:rsidRDefault="00960B78" w:rsidP="00B140C7">
      <w:pPr>
        <w:pStyle w:val="FootnoteText"/>
        <w:ind w:firstLine="720"/>
      </w:pPr>
      <w:r>
        <w:rPr>
          <w:rStyle w:val="FootnoteReference"/>
        </w:rPr>
        <w:footnoteRef/>
      </w:r>
      <w:r>
        <w:t xml:space="preserve"> </w:t>
      </w:r>
      <w:r>
        <w:tab/>
      </w:r>
      <w:r w:rsidRPr="00960B78">
        <w:rPr>
          <w:rFonts w:ascii="Times New Roman" w:hAnsi="Times New Roman" w:cs="Times New Roman"/>
        </w:rPr>
        <w:t xml:space="preserve">66 </w:t>
      </w:r>
      <w:proofErr w:type="spellStart"/>
      <w:r w:rsidRPr="00960B78">
        <w:rPr>
          <w:rFonts w:ascii="Times New Roman" w:hAnsi="Times New Roman" w:cs="Times New Roman"/>
        </w:rPr>
        <w:t>Pa.C.S</w:t>
      </w:r>
      <w:proofErr w:type="spellEnd"/>
      <w:r w:rsidRPr="00960B78">
        <w:rPr>
          <w:rFonts w:ascii="Times New Roman" w:hAnsi="Times New Roman" w:cs="Times New Roman"/>
        </w:rPr>
        <w:t xml:space="preserve">. § 701. </w:t>
      </w:r>
      <w:r>
        <w:rPr>
          <w:rFonts w:ascii="Times New Roman" w:hAnsi="Times New Roman" w:cs="Times New Roman"/>
        </w:rPr>
        <w:t xml:space="preserve"> </w:t>
      </w:r>
      <w:r w:rsidRPr="00960B78">
        <w:rPr>
          <w:rFonts w:ascii="Times New Roman" w:hAnsi="Times New Roman" w:cs="Times New Roman"/>
        </w:rPr>
        <w:t>(Emphasis added).</w:t>
      </w:r>
    </w:p>
  </w:footnote>
  <w:footnote w:id="11">
    <w:p w14:paraId="24AD9D06" w14:textId="77777777" w:rsidR="00F061AD" w:rsidRDefault="00F061AD" w:rsidP="00F061AD">
      <w:pPr>
        <w:pStyle w:val="FootnoteText"/>
        <w:ind w:firstLine="720"/>
      </w:pPr>
      <w:r w:rsidRPr="002C3C16">
        <w:rPr>
          <w:rStyle w:val="FootnoteReference"/>
          <w:rFonts w:ascii="Times New Roman" w:hAnsi="Times New Roman" w:cs="Times New Roman"/>
        </w:rPr>
        <w:footnoteRef/>
      </w:r>
      <w:r w:rsidRPr="002C3C16">
        <w:rPr>
          <w:rFonts w:ascii="Times New Roman" w:hAnsi="Times New Roman" w:cs="Times New Roman"/>
        </w:rPr>
        <w:t xml:space="preserve"> </w:t>
      </w:r>
      <w:r w:rsidRPr="002C3C16">
        <w:rPr>
          <w:rFonts w:ascii="Times New Roman" w:hAnsi="Times New Roman" w:cs="Times New Roman"/>
        </w:rPr>
        <w:tab/>
        <w:t>52 Pa.</w:t>
      </w:r>
      <w:r>
        <w:rPr>
          <w:rFonts w:ascii="Times New Roman" w:hAnsi="Times New Roman" w:cs="Times New Roman"/>
        </w:rPr>
        <w:t xml:space="preserve"> </w:t>
      </w:r>
      <w:r w:rsidRPr="002C3C16">
        <w:rPr>
          <w:rFonts w:ascii="Times New Roman" w:hAnsi="Times New Roman" w:cs="Times New Roman"/>
        </w:rPr>
        <w:t>Code § 5.93.</w:t>
      </w:r>
      <w:r>
        <w:t xml:space="preserve">  </w:t>
      </w:r>
    </w:p>
    <w:p w14:paraId="46910714" w14:textId="77777777" w:rsidR="004035B5" w:rsidRDefault="004035B5" w:rsidP="00F061AD">
      <w:pPr>
        <w:pStyle w:val="FootnoteText"/>
        <w:ind w:firstLine="720"/>
      </w:pPr>
    </w:p>
  </w:footnote>
  <w:footnote w:id="12">
    <w:p w14:paraId="6C5310CB" w14:textId="77777777" w:rsidR="009B5ABA" w:rsidRPr="002C3C16" w:rsidRDefault="009B5ABA" w:rsidP="009B5ABA">
      <w:pPr>
        <w:pStyle w:val="FootnoteText"/>
        <w:ind w:firstLine="720"/>
        <w:rPr>
          <w:rFonts w:ascii="Times New Roman" w:hAnsi="Times New Roman" w:cs="Times New Roman"/>
        </w:rPr>
      </w:pPr>
      <w:r w:rsidRPr="002C3C16">
        <w:rPr>
          <w:rStyle w:val="FootnoteReference"/>
          <w:rFonts w:ascii="Times New Roman" w:hAnsi="Times New Roman" w:cs="Times New Roman"/>
        </w:rPr>
        <w:footnoteRef/>
      </w:r>
      <w:r w:rsidRPr="002C3C16">
        <w:rPr>
          <w:rFonts w:ascii="Times New Roman" w:hAnsi="Times New Roman" w:cs="Times New Roman"/>
        </w:rPr>
        <w:t xml:space="preserve"> </w:t>
      </w:r>
      <w:r w:rsidRPr="002C3C16">
        <w:rPr>
          <w:rFonts w:ascii="Times New Roman" w:hAnsi="Times New Roman" w:cs="Times New Roman"/>
        </w:rPr>
        <w:tab/>
        <w:t>Docket No. F 00163617 (Order entered July 14, 1993).</w:t>
      </w:r>
      <w:r w:rsidRPr="002C3C16">
        <w:rPr>
          <w:rFonts w:ascii="Times New Roman" w:hAnsi="Times New Roman" w:cs="Times New Roman"/>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79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78"/>
    <w:rsid w:val="000001E7"/>
    <w:rsid w:val="00027D7A"/>
    <w:rsid w:val="000319D0"/>
    <w:rsid w:val="00052144"/>
    <w:rsid w:val="00071D6D"/>
    <w:rsid w:val="000A63F4"/>
    <w:rsid w:val="000C57F2"/>
    <w:rsid w:val="000D0A21"/>
    <w:rsid w:val="000E07B4"/>
    <w:rsid w:val="00101320"/>
    <w:rsid w:val="001116AE"/>
    <w:rsid w:val="001658A1"/>
    <w:rsid w:val="001716A1"/>
    <w:rsid w:val="00192E95"/>
    <w:rsid w:val="00193623"/>
    <w:rsid w:val="001B264E"/>
    <w:rsid w:val="001B5C4F"/>
    <w:rsid w:val="001C580C"/>
    <w:rsid w:val="001C71C0"/>
    <w:rsid w:val="001E14FB"/>
    <w:rsid w:val="001E2BB2"/>
    <w:rsid w:val="00201C5A"/>
    <w:rsid w:val="00211AF9"/>
    <w:rsid w:val="00227B01"/>
    <w:rsid w:val="0023527B"/>
    <w:rsid w:val="00235A90"/>
    <w:rsid w:val="00262552"/>
    <w:rsid w:val="002753A9"/>
    <w:rsid w:val="0028166C"/>
    <w:rsid w:val="002B63FB"/>
    <w:rsid w:val="0034251F"/>
    <w:rsid w:val="00381951"/>
    <w:rsid w:val="0038317C"/>
    <w:rsid w:val="00383470"/>
    <w:rsid w:val="003B24F3"/>
    <w:rsid w:val="003D4162"/>
    <w:rsid w:val="003D44F8"/>
    <w:rsid w:val="003F6D58"/>
    <w:rsid w:val="004035B5"/>
    <w:rsid w:val="004577A1"/>
    <w:rsid w:val="00466117"/>
    <w:rsid w:val="00467004"/>
    <w:rsid w:val="0048636B"/>
    <w:rsid w:val="004A7537"/>
    <w:rsid w:val="004E4B14"/>
    <w:rsid w:val="005103B5"/>
    <w:rsid w:val="00522F78"/>
    <w:rsid w:val="005333DC"/>
    <w:rsid w:val="00534093"/>
    <w:rsid w:val="005532D4"/>
    <w:rsid w:val="005A2E77"/>
    <w:rsid w:val="005A5147"/>
    <w:rsid w:val="005B68BE"/>
    <w:rsid w:val="005D0B7A"/>
    <w:rsid w:val="005D4F93"/>
    <w:rsid w:val="005E2C8E"/>
    <w:rsid w:val="00601E3D"/>
    <w:rsid w:val="0063407A"/>
    <w:rsid w:val="006420B2"/>
    <w:rsid w:val="00652688"/>
    <w:rsid w:val="00653D74"/>
    <w:rsid w:val="006557B0"/>
    <w:rsid w:val="0067292F"/>
    <w:rsid w:val="006A5005"/>
    <w:rsid w:val="006D3FC7"/>
    <w:rsid w:val="006D4372"/>
    <w:rsid w:val="006E4730"/>
    <w:rsid w:val="006F4BE8"/>
    <w:rsid w:val="00714748"/>
    <w:rsid w:val="007174FA"/>
    <w:rsid w:val="007319B7"/>
    <w:rsid w:val="007350EA"/>
    <w:rsid w:val="00741C46"/>
    <w:rsid w:val="00751F71"/>
    <w:rsid w:val="00763A09"/>
    <w:rsid w:val="007919BF"/>
    <w:rsid w:val="007967E0"/>
    <w:rsid w:val="007A47EA"/>
    <w:rsid w:val="007A6932"/>
    <w:rsid w:val="007B1B22"/>
    <w:rsid w:val="007B2F92"/>
    <w:rsid w:val="007B478C"/>
    <w:rsid w:val="007D18EE"/>
    <w:rsid w:val="007F0009"/>
    <w:rsid w:val="00802799"/>
    <w:rsid w:val="00802DD5"/>
    <w:rsid w:val="00815AE5"/>
    <w:rsid w:val="00825947"/>
    <w:rsid w:val="00880793"/>
    <w:rsid w:val="008B345B"/>
    <w:rsid w:val="008D31F5"/>
    <w:rsid w:val="0090225B"/>
    <w:rsid w:val="00920B44"/>
    <w:rsid w:val="0093094D"/>
    <w:rsid w:val="009462CD"/>
    <w:rsid w:val="00954CD3"/>
    <w:rsid w:val="00960B78"/>
    <w:rsid w:val="009B191B"/>
    <w:rsid w:val="009B43C2"/>
    <w:rsid w:val="009B5ABA"/>
    <w:rsid w:val="009D15D0"/>
    <w:rsid w:val="009E65B4"/>
    <w:rsid w:val="00A74DD0"/>
    <w:rsid w:val="00A83052"/>
    <w:rsid w:val="00A87184"/>
    <w:rsid w:val="00AA3B81"/>
    <w:rsid w:val="00AB2A8B"/>
    <w:rsid w:val="00AC29FA"/>
    <w:rsid w:val="00AC6CE8"/>
    <w:rsid w:val="00AE10B9"/>
    <w:rsid w:val="00AF1EC2"/>
    <w:rsid w:val="00B106BB"/>
    <w:rsid w:val="00B140C7"/>
    <w:rsid w:val="00B20981"/>
    <w:rsid w:val="00B324C6"/>
    <w:rsid w:val="00B40863"/>
    <w:rsid w:val="00B55238"/>
    <w:rsid w:val="00B73CAB"/>
    <w:rsid w:val="00B87618"/>
    <w:rsid w:val="00BB69B2"/>
    <w:rsid w:val="00BC6423"/>
    <w:rsid w:val="00BD0126"/>
    <w:rsid w:val="00BE7318"/>
    <w:rsid w:val="00C03502"/>
    <w:rsid w:val="00C07FF1"/>
    <w:rsid w:val="00C212AA"/>
    <w:rsid w:val="00C263C0"/>
    <w:rsid w:val="00C32798"/>
    <w:rsid w:val="00C37DAD"/>
    <w:rsid w:val="00C37F17"/>
    <w:rsid w:val="00C44CCF"/>
    <w:rsid w:val="00C676C1"/>
    <w:rsid w:val="00CB4B7E"/>
    <w:rsid w:val="00D14702"/>
    <w:rsid w:val="00D15F9D"/>
    <w:rsid w:val="00D209D2"/>
    <w:rsid w:val="00D33C04"/>
    <w:rsid w:val="00D51759"/>
    <w:rsid w:val="00D7071E"/>
    <w:rsid w:val="00D7079F"/>
    <w:rsid w:val="00D93B48"/>
    <w:rsid w:val="00DE59EA"/>
    <w:rsid w:val="00DF3069"/>
    <w:rsid w:val="00E06DB8"/>
    <w:rsid w:val="00E338B0"/>
    <w:rsid w:val="00E35187"/>
    <w:rsid w:val="00EA1558"/>
    <w:rsid w:val="00EB4B3E"/>
    <w:rsid w:val="00EC1960"/>
    <w:rsid w:val="00EC3C5A"/>
    <w:rsid w:val="00EC5F87"/>
    <w:rsid w:val="00EF0CC7"/>
    <w:rsid w:val="00EF3A7C"/>
    <w:rsid w:val="00EF56AE"/>
    <w:rsid w:val="00F01334"/>
    <w:rsid w:val="00F061AD"/>
    <w:rsid w:val="00F11E7A"/>
    <w:rsid w:val="00F12BCC"/>
    <w:rsid w:val="00F410A9"/>
    <w:rsid w:val="00F43C78"/>
    <w:rsid w:val="00F553BB"/>
    <w:rsid w:val="00F60D44"/>
    <w:rsid w:val="00F652B6"/>
    <w:rsid w:val="00F65645"/>
    <w:rsid w:val="00F73B52"/>
    <w:rsid w:val="00F7631F"/>
    <w:rsid w:val="00FA334F"/>
    <w:rsid w:val="00FC12DC"/>
    <w:rsid w:val="00FC7F61"/>
    <w:rsid w:val="00FD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5F77C"/>
  <w15:chartTrackingRefBased/>
  <w15:docId w15:val="{83FB885B-68DD-421E-AF20-7B79E92C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C78"/>
    <w:rPr>
      <w:kern w:val="0"/>
      <w14:ligatures w14:val="none"/>
    </w:rPr>
  </w:style>
  <w:style w:type="paragraph" w:styleId="Heading1">
    <w:name w:val="heading 1"/>
    <w:basedOn w:val="Normal"/>
    <w:next w:val="Normal"/>
    <w:link w:val="Heading1Char"/>
    <w:uiPriority w:val="9"/>
    <w:qFormat/>
    <w:rsid w:val="00F43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C78"/>
    <w:rPr>
      <w:rFonts w:eastAsiaTheme="majorEastAsia" w:cstheme="majorBidi"/>
      <w:color w:val="272727" w:themeColor="text1" w:themeTint="D8"/>
    </w:rPr>
  </w:style>
  <w:style w:type="paragraph" w:styleId="Title">
    <w:name w:val="Title"/>
    <w:basedOn w:val="Normal"/>
    <w:next w:val="Normal"/>
    <w:link w:val="TitleChar"/>
    <w:uiPriority w:val="10"/>
    <w:qFormat/>
    <w:rsid w:val="00F43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C78"/>
    <w:pPr>
      <w:spacing w:before="160"/>
      <w:jc w:val="center"/>
    </w:pPr>
    <w:rPr>
      <w:i/>
      <w:iCs/>
      <w:color w:val="404040" w:themeColor="text1" w:themeTint="BF"/>
    </w:rPr>
  </w:style>
  <w:style w:type="character" w:customStyle="1" w:styleId="QuoteChar">
    <w:name w:val="Quote Char"/>
    <w:basedOn w:val="DefaultParagraphFont"/>
    <w:link w:val="Quote"/>
    <w:uiPriority w:val="29"/>
    <w:rsid w:val="00F43C78"/>
    <w:rPr>
      <w:i/>
      <w:iCs/>
      <w:color w:val="404040" w:themeColor="text1" w:themeTint="BF"/>
    </w:rPr>
  </w:style>
  <w:style w:type="paragraph" w:styleId="ListParagraph">
    <w:name w:val="List Paragraph"/>
    <w:basedOn w:val="Normal"/>
    <w:uiPriority w:val="34"/>
    <w:qFormat/>
    <w:rsid w:val="00F43C78"/>
    <w:pPr>
      <w:ind w:left="720"/>
      <w:contextualSpacing/>
    </w:pPr>
  </w:style>
  <w:style w:type="character" w:styleId="IntenseEmphasis">
    <w:name w:val="Intense Emphasis"/>
    <w:basedOn w:val="DefaultParagraphFont"/>
    <w:uiPriority w:val="21"/>
    <w:qFormat/>
    <w:rsid w:val="00F43C78"/>
    <w:rPr>
      <w:i/>
      <w:iCs/>
      <w:color w:val="0F4761" w:themeColor="accent1" w:themeShade="BF"/>
    </w:rPr>
  </w:style>
  <w:style w:type="paragraph" w:styleId="IntenseQuote">
    <w:name w:val="Intense Quote"/>
    <w:basedOn w:val="Normal"/>
    <w:next w:val="Normal"/>
    <w:link w:val="IntenseQuoteChar"/>
    <w:uiPriority w:val="30"/>
    <w:qFormat/>
    <w:rsid w:val="00F43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C78"/>
    <w:rPr>
      <w:i/>
      <w:iCs/>
      <w:color w:val="0F4761" w:themeColor="accent1" w:themeShade="BF"/>
    </w:rPr>
  </w:style>
  <w:style w:type="character" w:styleId="IntenseReference">
    <w:name w:val="Intense Reference"/>
    <w:basedOn w:val="DefaultParagraphFont"/>
    <w:uiPriority w:val="32"/>
    <w:qFormat/>
    <w:rsid w:val="00F43C78"/>
    <w:rPr>
      <w:b/>
      <w:bCs/>
      <w:smallCaps/>
      <w:color w:val="0F4761" w:themeColor="accent1" w:themeShade="BF"/>
      <w:spacing w:val="5"/>
    </w:rPr>
  </w:style>
  <w:style w:type="paragraph" w:styleId="FootnoteText">
    <w:name w:val="footnote text"/>
    <w:aliases w:val="Car,ALTS FOOTNOTE,ALTS FOOTNOTE Char,ALTS FOOTNOTE Char Char Char,FOOTNOTE,Footnote Text 2,Footnote Text Char Char Char,Footnote Text Char1 Char,Footnote Text Char2 Char Char Char,Footnote Text1 Char,Footnote text,fn,fn Char"/>
    <w:basedOn w:val="Normal"/>
    <w:link w:val="FootnoteTextChar"/>
    <w:unhideWhenUsed/>
    <w:qFormat/>
    <w:rsid w:val="00F43C78"/>
    <w:pPr>
      <w:spacing w:after="0" w:line="240" w:lineRule="auto"/>
    </w:pPr>
    <w:rPr>
      <w:sz w:val="20"/>
      <w:szCs w:val="20"/>
    </w:rPr>
  </w:style>
  <w:style w:type="character" w:customStyle="1" w:styleId="FootnoteTextChar">
    <w:name w:val="Footnote Text Char"/>
    <w:aliases w:val="Car Char,ALTS FOOTNOTE Char1,ALTS FOOTNOTE Char Char,ALTS FOOTNOTE Char Char Char Char,FOOTNOTE Char,Footnote Text 2 Char,Footnote Text Char Char Char Char,Footnote Text Char1 Char Char,Footnote Text Char2 Char Char Char Char,fn Char1"/>
    <w:basedOn w:val="DefaultParagraphFont"/>
    <w:link w:val="FootnoteText"/>
    <w:rsid w:val="00F43C78"/>
    <w:rPr>
      <w:kern w:val="0"/>
      <w:sz w:val="20"/>
      <w:szCs w:val="20"/>
      <w14:ligatures w14:val="none"/>
    </w:rPr>
  </w:style>
  <w:style w:type="character" w:styleId="FootnoteReference">
    <w:name w:val="footnote reference"/>
    <w:aliases w:val="o,fr"/>
    <w:basedOn w:val="DefaultParagraphFont"/>
    <w:uiPriority w:val="99"/>
    <w:rsid w:val="00F43C78"/>
    <w:rPr>
      <w:vertAlign w:val="superscript"/>
    </w:rPr>
  </w:style>
  <w:style w:type="paragraph" w:styleId="NormalWeb">
    <w:name w:val="Normal (Web)"/>
    <w:basedOn w:val="Normal"/>
    <w:uiPriority w:val="99"/>
    <w:unhideWhenUsed/>
    <w:rsid w:val="002352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4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093"/>
    <w:rPr>
      <w:kern w:val="0"/>
      <w14:ligatures w14:val="none"/>
    </w:rPr>
  </w:style>
  <w:style w:type="paragraph" w:styleId="Footer">
    <w:name w:val="footer"/>
    <w:basedOn w:val="Normal"/>
    <w:link w:val="FooterChar"/>
    <w:uiPriority w:val="99"/>
    <w:unhideWhenUsed/>
    <w:rsid w:val="00534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093"/>
    <w:rPr>
      <w:kern w:val="0"/>
      <w14:ligatures w14:val="none"/>
    </w:rPr>
  </w:style>
  <w:style w:type="paragraph" w:styleId="NoSpacing">
    <w:name w:val="No Spacing"/>
    <w:uiPriority w:val="1"/>
    <w:qFormat/>
    <w:rsid w:val="00D93B4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1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13</cp:revision>
  <dcterms:created xsi:type="dcterms:W3CDTF">2024-02-28T14:21:00Z</dcterms:created>
  <dcterms:modified xsi:type="dcterms:W3CDTF">2024-02-28T14:43:00Z</dcterms:modified>
</cp:coreProperties>
</file>