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09DA" w14:textId="77777777" w:rsidR="004D0A01" w:rsidRDefault="004D0A01" w:rsidP="004D0A01">
      <w:pPr>
        <w:tabs>
          <w:tab w:val="left" w:pos="5400"/>
          <w:tab w:val="right" w:pos="8640"/>
        </w:tabs>
        <w:spacing w:after="0" w:line="240" w:lineRule="auto"/>
        <w:contextualSpacing/>
        <w:jc w:val="center"/>
        <w:rPr>
          <w:rFonts w:eastAsia="Calibri" w:cs="Times New Roman"/>
          <w:b/>
          <w:szCs w:val="24"/>
        </w:rPr>
      </w:pPr>
      <w:r>
        <w:rPr>
          <w:rFonts w:eastAsia="Calibri" w:cs="Times New Roman"/>
          <w:b/>
          <w:caps/>
          <w:szCs w:val="24"/>
        </w:rPr>
        <w:t>Before the</w:t>
      </w:r>
    </w:p>
    <w:p w14:paraId="0938C385" w14:textId="77777777" w:rsidR="004D0A01" w:rsidRDefault="004D0A01" w:rsidP="004D0A01">
      <w:pPr>
        <w:spacing w:after="0" w:line="240" w:lineRule="auto"/>
        <w:jc w:val="center"/>
        <w:rPr>
          <w:rFonts w:eastAsia="Calibri" w:cs="Times New Roman"/>
          <w:b/>
          <w:szCs w:val="24"/>
        </w:rPr>
      </w:pPr>
      <w:r>
        <w:rPr>
          <w:rFonts w:eastAsia="Calibri" w:cs="Times New Roman"/>
          <w:b/>
          <w:szCs w:val="24"/>
        </w:rPr>
        <w:t>PENNSYLVANIA PUBLIC UTILITY COMMISSION</w:t>
      </w:r>
    </w:p>
    <w:p w14:paraId="705CD673" w14:textId="77777777" w:rsidR="004D0A01" w:rsidRDefault="004D0A01" w:rsidP="00DA54F4">
      <w:pPr>
        <w:spacing w:after="0" w:line="240" w:lineRule="auto"/>
        <w:jc w:val="center"/>
        <w:rPr>
          <w:rFonts w:eastAsia="Calibri" w:cs="Times New Roman"/>
          <w:b/>
          <w:szCs w:val="24"/>
          <w:u w:val="single"/>
        </w:rPr>
      </w:pPr>
    </w:p>
    <w:p w14:paraId="349BF423" w14:textId="77777777" w:rsidR="004D0A01" w:rsidRDefault="004D0A01" w:rsidP="00DA54F4">
      <w:pPr>
        <w:spacing w:after="0" w:line="240" w:lineRule="auto"/>
        <w:jc w:val="center"/>
        <w:rPr>
          <w:rFonts w:eastAsia="Calibri" w:cs="Times New Roman"/>
          <w:b/>
          <w:szCs w:val="24"/>
          <w:u w:val="single"/>
        </w:rPr>
      </w:pPr>
    </w:p>
    <w:p w14:paraId="5F4CCFA5" w14:textId="77777777" w:rsidR="00DA54F4" w:rsidRDefault="00DA54F4" w:rsidP="00DA54F4">
      <w:pPr>
        <w:spacing w:after="0" w:line="240" w:lineRule="auto"/>
        <w:jc w:val="center"/>
        <w:rPr>
          <w:rFonts w:eastAsia="Calibri" w:cs="Times New Roman"/>
          <w:b/>
          <w:szCs w:val="24"/>
          <w:u w:val="single"/>
        </w:rPr>
      </w:pPr>
    </w:p>
    <w:p w14:paraId="5DF1AE04" w14:textId="30CD1DB8" w:rsidR="004D0A01" w:rsidRDefault="00EF46C2" w:rsidP="004D0A01">
      <w:pPr>
        <w:spacing w:after="0" w:line="240" w:lineRule="auto"/>
        <w:jc w:val="both"/>
        <w:rPr>
          <w:rFonts w:eastAsia="Calibri" w:cs="Times New Roman"/>
          <w:szCs w:val="24"/>
        </w:rPr>
      </w:pPr>
      <w:r>
        <w:rPr>
          <w:rFonts w:eastAsia="Calibri" w:cs="Times New Roman"/>
          <w:szCs w:val="24"/>
        </w:rPr>
        <w:t>Eric Konzelman</w:t>
      </w:r>
      <w:r w:rsidR="004D0A01">
        <w:rPr>
          <w:rFonts w:eastAsia="Calibri" w:cs="Times New Roman"/>
          <w:szCs w:val="24"/>
        </w:rPr>
        <w:tab/>
      </w:r>
      <w:r w:rsidR="004D0A01">
        <w:rPr>
          <w:rFonts w:eastAsia="Calibri" w:cs="Times New Roman"/>
          <w:szCs w:val="24"/>
        </w:rPr>
        <w:tab/>
      </w:r>
      <w:r w:rsidR="004D0A01">
        <w:rPr>
          <w:rFonts w:eastAsia="Calibri" w:cs="Times New Roman"/>
          <w:szCs w:val="24"/>
        </w:rPr>
        <w:tab/>
      </w:r>
      <w:r w:rsidR="004D0A01">
        <w:rPr>
          <w:rFonts w:eastAsia="Calibri" w:cs="Times New Roman"/>
          <w:szCs w:val="24"/>
        </w:rPr>
        <w:tab/>
      </w:r>
      <w:r w:rsidR="004D0A01">
        <w:rPr>
          <w:rFonts w:eastAsia="Calibri" w:cs="Times New Roman"/>
          <w:szCs w:val="24"/>
        </w:rPr>
        <w:tab/>
        <w:t>:</w:t>
      </w:r>
      <w:r w:rsidR="004D0A01">
        <w:rPr>
          <w:rFonts w:eastAsia="Calibri" w:cs="Times New Roman"/>
          <w:szCs w:val="24"/>
        </w:rPr>
        <w:tab/>
      </w:r>
    </w:p>
    <w:p w14:paraId="1BADBE59" w14:textId="77777777"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736C2F93" w14:textId="7C8ACFF7" w:rsidR="004D0A01" w:rsidRDefault="004D0A01" w:rsidP="004D0A01">
      <w:pPr>
        <w:spacing w:after="0" w:line="240" w:lineRule="auto"/>
        <w:jc w:val="both"/>
        <w:rPr>
          <w:rFonts w:eastAsia="Calibri" w:cs="Times New Roman"/>
          <w:szCs w:val="24"/>
        </w:rPr>
      </w:pPr>
      <w:r>
        <w:rPr>
          <w:rFonts w:eastAsia="Calibri" w:cs="Times New Roman"/>
          <w:szCs w:val="24"/>
        </w:rPr>
        <w:tab/>
        <w:t>v.</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r>
        <w:rPr>
          <w:rFonts w:eastAsia="Calibri" w:cs="Times New Roman"/>
          <w:szCs w:val="24"/>
        </w:rPr>
        <w:tab/>
      </w:r>
      <w:r>
        <w:rPr>
          <w:rFonts w:eastAsia="Calibri" w:cs="Times New Roman"/>
          <w:szCs w:val="24"/>
        </w:rPr>
        <w:tab/>
      </w:r>
      <w:r w:rsidR="00EF46C2" w:rsidRPr="00EF46C2">
        <w:rPr>
          <w:rFonts w:eastAsia="Calibri" w:cs="Times New Roman"/>
          <w:szCs w:val="24"/>
        </w:rPr>
        <w:t>C-2019-3009218</w:t>
      </w:r>
    </w:p>
    <w:p w14:paraId="186A130A" w14:textId="77777777"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38692B31" w14:textId="5881A46B" w:rsidR="004D0A01" w:rsidRDefault="00EF46C2" w:rsidP="004D0A01">
      <w:pPr>
        <w:spacing w:after="0" w:line="240" w:lineRule="auto"/>
        <w:jc w:val="both"/>
        <w:rPr>
          <w:rFonts w:eastAsia="Calibri" w:cs="Times New Roman"/>
          <w:szCs w:val="24"/>
        </w:rPr>
      </w:pPr>
      <w:r>
        <w:rPr>
          <w:rFonts w:eastAsia="Calibri" w:cs="Times New Roman"/>
          <w:szCs w:val="24"/>
        </w:rPr>
        <w:t>Metropolitan Edison Company</w:t>
      </w:r>
      <w:r w:rsidR="004D0A01">
        <w:rPr>
          <w:rFonts w:eastAsia="Calibri" w:cs="Times New Roman"/>
          <w:szCs w:val="24"/>
        </w:rPr>
        <w:tab/>
      </w:r>
      <w:r w:rsidR="004D0A01">
        <w:rPr>
          <w:rFonts w:eastAsia="Calibri" w:cs="Times New Roman"/>
          <w:szCs w:val="24"/>
        </w:rPr>
        <w:tab/>
      </w:r>
      <w:r w:rsidR="00F06634">
        <w:rPr>
          <w:rFonts w:eastAsia="Calibri" w:cs="Times New Roman"/>
          <w:szCs w:val="24"/>
        </w:rPr>
        <w:tab/>
      </w:r>
      <w:r w:rsidR="004D0A01">
        <w:rPr>
          <w:rFonts w:eastAsia="Calibri" w:cs="Times New Roman"/>
          <w:szCs w:val="24"/>
        </w:rPr>
        <w:t>:</w:t>
      </w:r>
    </w:p>
    <w:p w14:paraId="35AAD85C" w14:textId="77777777"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p>
    <w:p w14:paraId="763B07ED" w14:textId="77777777" w:rsidR="004D0A01" w:rsidRDefault="004D0A01" w:rsidP="004D0A01">
      <w:pPr>
        <w:spacing w:after="0" w:line="240" w:lineRule="auto"/>
        <w:rPr>
          <w:rFonts w:eastAsia="Calibri" w:cs="Times New Roman"/>
          <w:szCs w:val="24"/>
        </w:rPr>
      </w:pPr>
    </w:p>
    <w:p w14:paraId="0606A9D9" w14:textId="77777777" w:rsidR="00DA54F4" w:rsidRDefault="00DA54F4" w:rsidP="004D0A01">
      <w:pPr>
        <w:spacing w:after="0" w:line="240" w:lineRule="auto"/>
        <w:rPr>
          <w:rFonts w:eastAsia="Calibri" w:cs="Times New Roman"/>
          <w:szCs w:val="24"/>
        </w:rPr>
      </w:pPr>
    </w:p>
    <w:p w14:paraId="51AC0C61" w14:textId="77777777" w:rsidR="004D0A01" w:rsidRPr="00AE3BF0" w:rsidRDefault="001A75EB" w:rsidP="00AE3BF0">
      <w:pPr>
        <w:spacing w:after="0" w:line="240" w:lineRule="auto"/>
        <w:jc w:val="center"/>
        <w:rPr>
          <w:rFonts w:eastAsia="Calibri" w:cs="Times New Roman"/>
          <w:b/>
          <w:bCs/>
          <w:szCs w:val="24"/>
        </w:rPr>
      </w:pPr>
      <w:r w:rsidRPr="00AE3BF0">
        <w:rPr>
          <w:rFonts w:eastAsia="Calibri" w:cs="Times New Roman"/>
          <w:b/>
          <w:bCs/>
          <w:szCs w:val="24"/>
        </w:rPr>
        <w:t>INTERIM ORDER</w:t>
      </w:r>
    </w:p>
    <w:p w14:paraId="71B544D0" w14:textId="10DF8B08" w:rsidR="00CB0244" w:rsidRPr="00BD0F29" w:rsidRDefault="00BD0F29" w:rsidP="00AE3BF0">
      <w:pPr>
        <w:spacing w:after="0" w:line="240" w:lineRule="auto"/>
        <w:jc w:val="center"/>
        <w:rPr>
          <w:rFonts w:eastAsia="Calibri" w:cs="Times New Roman"/>
          <w:b/>
          <w:bCs/>
          <w:szCs w:val="24"/>
          <w:u w:val="single"/>
        </w:rPr>
      </w:pPr>
      <w:r>
        <w:rPr>
          <w:rFonts w:eastAsia="Calibri" w:cs="Times New Roman"/>
          <w:b/>
          <w:bCs/>
          <w:szCs w:val="24"/>
        </w:rPr>
        <w:t xml:space="preserve">GRANTING RESPONDENT’S OBJECTIONS TO COMPLAINANT’S LATE-FILED </w:t>
      </w:r>
      <w:r w:rsidRPr="00BD0F29">
        <w:rPr>
          <w:rFonts w:eastAsia="Calibri" w:cs="Times New Roman"/>
          <w:b/>
          <w:bCs/>
          <w:szCs w:val="24"/>
          <w:u w:val="single"/>
        </w:rPr>
        <w:t>EXHIBITS AND CLOSING THE EVIDENTIARY RECORD</w:t>
      </w:r>
    </w:p>
    <w:p w14:paraId="4D93F82B" w14:textId="77777777" w:rsidR="001A75EB" w:rsidRDefault="001A75EB" w:rsidP="008E74E4">
      <w:pPr>
        <w:spacing w:after="0"/>
        <w:rPr>
          <w:rFonts w:eastAsia="Calibri" w:cs="Times New Roman"/>
          <w:szCs w:val="24"/>
        </w:rPr>
      </w:pPr>
    </w:p>
    <w:p w14:paraId="5DFDBC87" w14:textId="05B07730" w:rsidR="00533ECC" w:rsidRDefault="001A75EB" w:rsidP="00533ECC">
      <w:pPr>
        <w:spacing w:after="0"/>
        <w:rPr>
          <w:rFonts w:eastAsia="Calibri" w:cs="Times New Roman"/>
          <w:szCs w:val="24"/>
        </w:rPr>
      </w:pPr>
      <w:r>
        <w:tab/>
      </w:r>
      <w:r>
        <w:tab/>
      </w:r>
      <w:r w:rsidR="00533ECC">
        <w:rPr>
          <w:rFonts w:eastAsia="Calibri" w:cs="Times New Roman"/>
          <w:szCs w:val="24"/>
        </w:rPr>
        <w:t xml:space="preserve">An evidentiary hearing convened on June 24, 2020.  Mr. Konzelman appeared on his own behalf.  He testified on his own behalf, but his exhibits had not yet been received at the time of the hearing.  Ms. Giesler and Ms. Lepkoski appeared on behalf of the Company.  The Company presented the testimony of John Ahr, Advisor for Regulatory Compliance.  Company’s exhibits PD-1, PD-2, PD-3, PD-4, JCA-1, and JCA-3 were admitted into the record.  </w:t>
      </w:r>
      <w:r w:rsidR="00CC29F1">
        <w:rPr>
          <w:rFonts w:eastAsia="Calibri" w:cs="Times New Roman"/>
          <w:szCs w:val="24"/>
        </w:rPr>
        <w:t xml:space="preserve">During the hearing, </w:t>
      </w:r>
      <w:r w:rsidR="00533ECC">
        <w:rPr>
          <w:rFonts w:eastAsia="Calibri" w:cs="Times New Roman"/>
          <w:szCs w:val="24"/>
        </w:rPr>
        <w:t xml:space="preserve">I ordered Complainant to serve his proposed late-filed exhibits on the Company within ten </w:t>
      </w:r>
      <w:r w:rsidR="006E4269">
        <w:rPr>
          <w:rFonts w:eastAsia="Calibri" w:cs="Times New Roman"/>
          <w:szCs w:val="24"/>
        </w:rPr>
        <w:t>days and</w:t>
      </w:r>
      <w:r w:rsidR="00533ECC">
        <w:rPr>
          <w:rFonts w:eastAsia="Calibri" w:cs="Times New Roman"/>
          <w:szCs w:val="24"/>
        </w:rPr>
        <w:t xml:space="preserve"> advised the Company to file any objections to the proposed late-filed exhibits within ten days of service of Complainant’s proposed exhibits.  Further, I informed the parties I would issue a briefing order, setting a deadline for the filing of briefs. </w:t>
      </w:r>
    </w:p>
    <w:p w14:paraId="6A3666A6" w14:textId="77777777" w:rsidR="00533ECC" w:rsidRDefault="00533ECC" w:rsidP="00533ECC">
      <w:pPr>
        <w:spacing w:after="0"/>
        <w:rPr>
          <w:rFonts w:eastAsia="Calibri" w:cs="Times New Roman"/>
          <w:szCs w:val="24"/>
        </w:rPr>
      </w:pPr>
    </w:p>
    <w:p w14:paraId="440CE5D1" w14:textId="77777777" w:rsidR="00533ECC" w:rsidRDefault="00533ECC" w:rsidP="00533ECC">
      <w:pPr>
        <w:spacing w:after="0"/>
        <w:rPr>
          <w:rFonts w:eastAsia="Calibri" w:cs="Times New Roman"/>
          <w:szCs w:val="24"/>
        </w:rPr>
      </w:pPr>
      <w:r>
        <w:rPr>
          <w:rFonts w:eastAsia="Calibri" w:cs="Times New Roman"/>
          <w:szCs w:val="24"/>
        </w:rPr>
        <w:tab/>
      </w:r>
      <w:r>
        <w:rPr>
          <w:rFonts w:eastAsia="Calibri" w:cs="Times New Roman"/>
          <w:szCs w:val="24"/>
        </w:rPr>
        <w:tab/>
        <w:t xml:space="preserve">Complainant served his fifteen proposed late-filed exhibits on me and the Company on June 26, 2020.  </w:t>
      </w:r>
    </w:p>
    <w:p w14:paraId="3DD951E7" w14:textId="77777777" w:rsidR="00533ECC" w:rsidRDefault="00533ECC" w:rsidP="00533ECC">
      <w:pPr>
        <w:spacing w:after="0"/>
        <w:rPr>
          <w:rFonts w:eastAsia="Calibri" w:cs="Times New Roman"/>
          <w:szCs w:val="24"/>
        </w:rPr>
      </w:pPr>
    </w:p>
    <w:p w14:paraId="5527CFA0" w14:textId="77777777" w:rsidR="00533ECC" w:rsidRDefault="00533ECC" w:rsidP="00533ECC">
      <w:pPr>
        <w:spacing w:after="0"/>
        <w:rPr>
          <w:rFonts w:eastAsia="Calibri" w:cs="Times New Roman"/>
          <w:szCs w:val="24"/>
        </w:rPr>
      </w:pPr>
      <w:r>
        <w:rPr>
          <w:rFonts w:eastAsia="Calibri" w:cs="Times New Roman"/>
          <w:szCs w:val="24"/>
        </w:rPr>
        <w:tab/>
      </w:r>
      <w:r>
        <w:rPr>
          <w:rFonts w:eastAsia="Calibri" w:cs="Times New Roman"/>
          <w:szCs w:val="24"/>
        </w:rPr>
        <w:tab/>
        <w:t xml:space="preserve">On July 9, 2020, the Company filed objections to Complainant’s proposed exhibits.  </w:t>
      </w:r>
    </w:p>
    <w:p w14:paraId="7D1A79BF" w14:textId="73551C9E" w:rsidR="009F1C45" w:rsidRDefault="0097262B" w:rsidP="00533ECC">
      <w:pPr>
        <w:spacing w:after="0"/>
      </w:pPr>
      <w:r>
        <w:tab/>
      </w:r>
      <w:r>
        <w:tab/>
      </w:r>
    </w:p>
    <w:p w14:paraId="14C78D98" w14:textId="77777777" w:rsidR="00DA54F4" w:rsidRDefault="009F1C45" w:rsidP="00CC29F1">
      <w:pPr>
        <w:spacing w:after="0"/>
        <w:rPr>
          <w:szCs w:val="24"/>
        </w:rPr>
        <w:sectPr w:rsidR="00DA54F4" w:rsidSect="00D7679F">
          <w:footerReference w:type="default" r:id="rId8"/>
          <w:footerReference w:type="first" r:id="rId9"/>
          <w:pgSz w:w="12240" w:h="15840"/>
          <w:pgMar w:top="1440" w:right="1440" w:bottom="1440" w:left="1440" w:header="720" w:footer="720" w:gutter="0"/>
          <w:cols w:space="720"/>
          <w:titlePg/>
          <w:docGrid w:linePitch="360"/>
        </w:sectPr>
      </w:pPr>
      <w:r>
        <w:tab/>
      </w:r>
      <w:r>
        <w:tab/>
      </w:r>
      <w:r w:rsidR="00F74453" w:rsidRPr="006A685B">
        <w:rPr>
          <w:szCs w:val="24"/>
        </w:rPr>
        <w:t xml:space="preserve">On October 8, 2020, the Commonwealth Court of Pennsylvania (Commonwealth Court) issued an Opinion in </w:t>
      </w:r>
      <w:proofErr w:type="spellStart"/>
      <w:r w:rsidR="00F74453" w:rsidRPr="006A685B">
        <w:rPr>
          <w:i/>
          <w:iCs/>
          <w:szCs w:val="24"/>
        </w:rPr>
        <w:t>Povacz</w:t>
      </w:r>
      <w:proofErr w:type="spellEnd"/>
      <w:r w:rsidR="00F74453" w:rsidRPr="006A685B">
        <w:rPr>
          <w:i/>
          <w:iCs/>
          <w:szCs w:val="24"/>
        </w:rPr>
        <w:t>, et al. v. Pa. Public Utility Commission</w:t>
      </w:r>
      <w:r w:rsidR="00F74453" w:rsidRPr="006A685B">
        <w:rPr>
          <w:szCs w:val="24"/>
        </w:rPr>
        <w:t xml:space="preserve">, 241 A.3d 481 (Pa. </w:t>
      </w:r>
      <w:proofErr w:type="spellStart"/>
      <w:r w:rsidR="00F74453" w:rsidRPr="006A685B">
        <w:rPr>
          <w:szCs w:val="24"/>
        </w:rPr>
        <w:t>Cmwlth</w:t>
      </w:r>
      <w:proofErr w:type="spellEnd"/>
      <w:r w:rsidR="00F74453" w:rsidRPr="006A685B">
        <w:rPr>
          <w:szCs w:val="24"/>
        </w:rPr>
        <w:t>. 2020) (</w:t>
      </w:r>
      <w:proofErr w:type="spellStart"/>
      <w:r w:rsidR="00F74453" w:rsidRPr="006A685B">
        <w:rPr>
          <w:i/>
          <w:iCs/>
          <w:szCs w:val="24"/>
        </w:rPr>
        <w:t>Povacz</w:t>
      </w:r>
      <w:proofErr w:type="spellEnd"/>
      <w:r w:rsidR="00F74453" w:rsidRPr="006A685B">
        <w:rPr>
          <w:i/>
          <w:iCs/>
          <w:szCs w:val="24"/>
        </w:rPr>
        <w:t xml:space="preserve"> I</w:t>
      </w:r>
      <w:r w:rsidR="00F74453" w:rsidRPr="006A685B">
        <w:rPr>
          <w:szCs w:val="24"/>
        </w:rPr>
        <w:t xml:space="preserve">), the first of several appeals involving PECO Energy Company’s </w:t>
      </w:r>
    </w:p>
    <w:p w14:paraId="1A1416D8" w14:textId="77777777" w:rsidR="00892556" w:rsidRDefault="00F74453" w:rsidP="00CC29F1">
      <w:pPr>
        <w:spacing w:after="0"/>
        <w:rPr>
          <w:szCs w:val="24"/>
        </w:rPr>
      </w:pPr>
      <w:r w:rsidRPr="006A685B">
        <w:rPr>
          <w:szCs w:val="24"/>
        </w:rPr>
        <w:lastRenderedPageBreak/>
        <w:t xml:space="preserve">(PECO) deployment of smart meter technology pursuant to Act 129, codified at 66 Pa. C.S. § 2807(f).  </w:t>
      </w:r>
    </w:p>
    <w:p w14:paraId="064C384B" w14:textId="77777777" w:rsidR="00171EA5" w:rsidRDefault="00171EA5" w:rsidP="00CC29F1">
      <w:pPr>
        <w:spacing w:after="0"/>
        <w:rPr>
          <w:szCs w:val="24"/>
        </w:rPr>
      </w:pPr>
    </w:p>
    <w:p w14:paraId="7E286C07" w14:textId="2B861695" w:rsidR="00171EA5" w:rsidRPr="006A685B" w:rsidRDefault="00171EA5" w:rsidP="00171EA5">
      <w:pPr>
        <w:pStyle w:val="ListNumber"/>
        <w:numPr>
          <w:ilvl w:val="0"/>
          <w:numId w:val="0"/>
        </w:numPr>
        <w:ind w:firstLine="1440"/>
        <w:rPr>
          <w:szCs w:val="24"/>
        </w:rPr>
      </w:pPr>
      <w:r w:rsidRPr="006A685B">
        <w:rPr>
          <w:szCs w:val="24"/>
        </w:rPr>
        <w:t xml:space="preserve">In light of the Commonwealth Court’s decision in </w:t>
      </w:r>
      <w:proofErr w:type="spellStart"/>
      <w:r w:rsidRPr="006A685B">
        <w:rPr>
          <w:i/>
          <w:iCs/>
          <w:szCs w:val="24"/>
        </w:rPr>
        <w:t>Povacz</w:t>
      </w:r>
      <w:proofErr w:type="spellEnd"/>
      <w:r w:rsidRPr="006A685B">
        <w:rPr>
          <w:i/>
          <w:iCs/>
          <w:szCs w:val="24"/>
        </w:rPr>
        <w:t xml:space="preserve"> I</w:t>
      </w:r>
      <w:r w:rsidRPr="006A685B">
        <w:rPr>
          <w:szCs w:val="24"/>
        </w:rPr>
        <w:t>, the Commission entered an Order and Notice, at Docket No. M-2009-2092655, on November 4, 2020, pursuant to 66 Pa. C.S. § 501, instituting a stay of certain formal complaint proceedings then-pending before the Commission involving challenges to EDC deployment of smart meter technology as being in violation of Section 1501 of the Code (</w:t>
      </w:r>
      <w:r w:rsidRPr="006A685B">
        <w:rPr>
          <w:i/>
          <w:iCs/>
          <w:szCs w:val="24"/>
        </w:rPr>
        <w:t>November 4, 2020, Stay Order</w:t>
      </w:r>
      <w:r w:rsidRPr="006A685B">
        <w:rPr>
          <w:szCs w:val="24"/>
        </w:rPr>
        <w:t xml:space="preserve">).  The </w:t>
      </w:r>
      <w:r w:rsidRPr="006A685B">
        <w:rPr>
          <w:i/>
          <w:iCs/>
          <w:szCs w:val="24"/>
        </w:rPr>
        <w:t xml:space="preserve">November 4, 2020, Stay Order </w:t>
      </w:r>
      <w:r w:rsidRPr="006A685B">
        <w:rPr>
          <w:szCs w:val="24"/>
        </w:rPr>
        <w:t>applied to and was docketed at the instant case.</w:t>
      </w:r>
    </w:p>
    <w:p w14:paraId="1ECEC909" w14:textId="77777777" w:rsidR="00171EA5" w:rsidRDefault="00171EA5" w:rsidP="00CC29F1">
      <w:pPr>
        <w:spacing w:after="0"/>
      </w:pPr>
    </w:p>
    <w:p w14:paraId="42C9CFBF" w14:textId="77777777" w:rsidR="00DD4ED1" w:rsidRDefault="00DD4ED1" w:rsidP="00CC29F1">
      <w:pPr>
        <w:spacing w:after="0"/>
        <w:rPr>
          <w:szCs w:val="24"/>
        </w:rPr>
      </w:pPr>
      <w:r>
        <w:tab/>
      </w:r>
      <w:r>
        <w:tab/>
      </w:r>
      <w:r w:rsidRPr="006A685B">
        <w:rPr>
          <w:szCs w:val="24"/>
        </w:rPr>
        <w:t xml:space="preserve">On August 16, 2022, the Supreme Court issued an Opinion and Order, </w:t>
      </w:r>
      <w:proofErr w:type="spellStart"/>
      <w:r w:rsidRPr="006A685B">
        <w:rPr>
          <w:i/>
          <w:iCs/>
          <w:szCs w:val="24"/>
        </w:rPr>
        <w:t>Povacz</w:t>
      </w:r>
      <w:proofErr w:type="spellEnd"/>
      <w:r w:rsidRPr="006A685B">
        <w:rPr>
          <w:i/>
          <w:iCs/>
          <w:szCs w:val="24"/>
        </w:rPr>
        <w:t>, et al. v. Pa. Public Utility Commission</w:t>
      </w:r>
      <w:r w:rsidRPr="006A685B">
        <w:rPr>
          <w:szCs w:val="24"/>
        </w:rPr>
        <w:t>, 280 A.3d 975 (Pa. 2022) (</w:t>
      </w:r>
      <w:proofErr w:type="spellStart"/>
      <w:r w:rsidRPr="006A685B">
        <w:rPr>
          <w:i/>
          <w:iCs/>
          <w:szCs w:val="24"/>
        </w:rPr>
        <w:t>Povacz</w:t>
      </w:r>
      <w:proofErr w:type="spellEnd"/>
      <w:r w:rsidRPr="006A685B">
        <w:rPr>
          <w:i/>
          <w:iCs/>
          <w:szCs w:val="24"/>
        </w:rPr>
        <w:t xml:space="preserve"> II</w:t>
      </w:r>
      <w:r w:rsidRPr="006A685B">
        <w:rPr>
          <w:szCs w:val="24"/>
        </w:rPr>
        <w:t>)</w:t>
      </w:r>
      <w:r>
        <w:rPr>
          <w:szCs w:val="24"/>
        </w:rPr>
        <w:t>.</w:t>
      </w:r>
    </w:p>
    <w:p w14:paraId="16AAACC2" w14:textId="77777777" w:rsidR="00D80135" w:rsidRDefault="00D80135" w:rsidP="00CC29F1">
      <w:pPr>
        <w:spacing w:after="0"/>
        <w:rPr>
          <w:szCs w:val="24"/>
        </w:rPr>
      </w:pPr>
    </w:p>
    <w:p w14:paraId="7BDA2B54" w14:textId="39ED107B" w:rsidR="00D80135" w:rsidRDefault="00D80135" w:rsidP="00D80135">
      <w:pPr>
        <w:pStyle w:val="ListNumber"/>
        <w:numPr>
          <w:ilvl w:val="0"/>
          <w:numId w:val="0"/>
        </w:numPr>
        <w:ind w:firstLine="1440"/>
        <w:rPr>
          <w:szCs w:val="24"/>
        </w:rPr>
      </w:pPr>
      <w:r>
        <w:rPr>
          <w:szCs w:val="24"/>
        </w:rPr>
        <w:t>After</w:t>
      </w:r>
      <w:r w:rsidRPr="006A685B">
        <w:rPr>
          <w:szCs w:val="24"/>
        </w:rPr>
        <w:t xml:space="preserve"> the Supreme Court’s decision in </w:t>
      </w:r>
      <w:proofErr w:type="spellStart"/>
      <w:r w:rsidRPr="006A685B">
        <w:rPr>
          <w:i/>
          <w:iCs/>
          <w:szCs w:val="24"/>
        </w:rPr>
        <w:t>Povacz</w:t>
      </w:r>
      <w:proofErr w:type="spellEnd"/>
      <w:r w:rsidRPr="006A685B">
        <w:rPr>
          <w:i/>
          <w:iCs/>
          <w:szCs w:val="24"/>
        </w:rPr>
        <w:t xml:space="preserve"> II</w:t>
      </w:r>
      <w:r w:rsidRPr="006A685B">
        <w:rPr>
          <w:szCs w:val="24"/>
        </w:rPr>
        <w:t xml:space="preserve">, the Commission lifted the stay implemented by the </w:t>
      </w:r>
      <w:r w:rsidRPr="006A685B">
        <w:rPr>
          <w:i/>
          <w:iCs/>
          <w:szCs w:val="24"/>
        </w:rPr>
        <w:t>November 4, 2020, Stay Order</w:t>
      </w:r>
      <w:r w:rsidRPr="006A685B">
        <w:rPr>
          <w:szCs w:val="24"/>
        </w:rPr>
        <w:t xml:space="preserve"> on November 9, 2023.  The Commission entered an Order at Docket No. M-2009-2092655, explaining that cases pending before the Office of Administrative Law Judge, such as the instant case, would proceed as directed by the assigned presiding officer. </w:t>
      </w:r>
    </w:p>
    <w:p w14:paraId="30CCCC00" w14:textId="77777777" w:rsidR="0053640E" w:rsidRDefault="0053640E" w:rsidP="00D80135">
      <w:pPr>
        <w:pStyle w:val="ListNumber"/>
        <w:numPr>
          <w:ilvl w:val="0"/>
          <w:numId w:val="0"/>
        </w:numPr>
        <w:ind w:firstLine="1440"/>
        <w:rPr>
          <w:szCs w:val="24"/>
        </w:rPr>
      </w:pPr>
    </w:p>
    <w:p w14:paraId="152BB546" w14:textId="779F589B" w:rsidR="0015445A" w:rsidRDefault="0053640E" w:rsidP="000B3648">
      <w:pPr>
        <w:pStyle w:val="ListNumber"/>
        <w:numPr>
          <w:ilvl w:val="0"/>
          <w:numId w:val="0"/>
        </w:numPr>
        <w:ind w:firstLine="1440"/>
        <w:rPr>
          <w:rFonts w:cs="Times New Roman"/>
          <w:szCs w:val="24"/>
        </w:rPr>
      </w:pPr>
      <w:r>
        <w:rPr>
          <w:szCs w:val="24"/>
        </w:rPr>
        <w:t xml:space="preserve">On December 11, 2023, I issued an Interim Order, </w:t>
      </w:r>
      <w:r w:rsidR="0015445A">
        <w:rPr>
          <w:szCs w:val="24"/>
        </w:rPr>
        <w:t>directing Complainant to submit responses, if any, to the</w:t>
      </w:r>
      <w:r w:rsidR="005910BD">
        <w:rPr>
          <w:szCs w:val="24"/>
        </w:rPr>
        <w:t xml:space="preserve"> Company’s objections to his proposed late-filed exhibits by December 22, 2023;</w:t>
      </w:r>
      <w:r w:rsidR="009E3D40">
        <w:rPr>
          <w:szCs w:val="24"/>
        </w:rPr>
        <w:t xml:space="preserve"> and</w:t>
      </w:r>
      <w:r w:rsidR="005910BD">
        <w:rPr>
          <w:szCs w:val="24"/>
        </w:rPr>
        <w:t xml:space="preserve"> </w:t>
      </w:r>
      <w:r w:rsidR="000B3648">
        <w:rPr>
          <w:szCs w:val="24"/>
        </w:rPr>
        <w:t xml:space="preserve">directing the parties to submit briefs if any, </w:t>
      </w:r>
      <w:r w:rsidR="0015445A">
        <w:rPr>
          <w:rFonts w:cs="Times New Roman"/>
          <w:szCs w:val="24"/>
        </w:rPr>
        <w:t>by January 26, 2024</w:t>
      </w:r>
      <w:r w:rsidR="009E3D40">
        <w:rPr>
          <w:rFonts w:cs="Times New Roman"/>
          <w:szCs w:val="24"/>
        </w:rPr>
        <w:t xml:space="preserve">, </w:t>
      </w:r>
      <w:r w:rsidR="000B5EBE">
        <w:rPr>
          <w:rFonts w:cs="Times New Roman"/>
          <w:szCs w:val="24"/>
        </w:rPr>
        <w:t xml:space="preserve">file </w:t>
      </w:r>
      <w:r w:rsidR="009E3D40">
        <w:rPr>
          <w:rFonts w:cs="Times New Roman"/>
          <w:szCs w:val="24"/>
        </w:rPr>
        <w:t xml:space="preserve">any appropriate motion by January 26, 2024, and responses to </w:t>
      </w:r>
      <w:r w:rsidR="00E25E6E">
        <w:rPr>
          <w:rFonts w:cs="Times New Roman"/>
          <w:szCs w:val="24"/>
        </w:rPr>
        <w:t xml:space="preserve">motions </w:t>
      </w:r>
      <w:r w:rsidR="004A28FC">
        <w:rPr>
          <w:rFonts w:cs="Times New Roman"/>
          <w:szCs w:val="24"/>
        </w:rPr>
        <w:t xml:space="preserve">by February 7, 2024.  </w:t>
      </w:r>
    </w:p>
    <w:p w14:paraId="0D9558F6" w14:textId="77777777" w:rsidR="004A28FC" w:rsidRDefault="004A28FC" w:rsidP="000B3648">
      <w:pPr>
        <w:pStyle w:val="ListNumber"/>
        <w:numPr>
          <w:ilvl w:val="0"/>
          <w:numId w:val="0"/>
        </w:numPr>
        <w:ind w:firstLine="1440"/>
        <w:rPr>
          <w:rFonts w:cs="Times New Roman"/>
          <w:szCs w:val="24"/>
        </w:rPr>
      </w:pPr>
    </w:p>
    <w:p w14:paraId="3E6BB51C" w14:textId="77D1C364" w:rsidR="00D80135" w:rsidRDefault="004A28FC" w:rsidP="004A28FC">
      <w:pPr>
        <w:pStyle w:val="ListNumber"/>
        <w:numPr>
          <w:ilvl w:val="0"/>
          <w:numId w:val="0"/>
        </w:numPr>
        <w:ind w:firstLine="1440"/>
        <w:rPr>
          <w:rFonts w:cs="Times New Roman"/>
          <w:szCs w:val="24"/>
        </w:rPr>
      </w:pPr>
      <w:r>
        <w:rPr>
          <w:rFonts w:cs="Times New Roman"/>
          <w:szCs w:val="24"/>
        </w:rPr>
        <w:t xml:space="preserve">Complainant did not file any </w:t>
      </w:r>
      <w:r w:rsidR="00316763">
        <w:rPr>
          <w:rFonts w:cs="Times New Roman"/>
          <w:szCs w:val="24"/>
        </w:rPr>
        <w:t>response to the Company’s objections</w:t>
      </w:r>
      <w:r w:rsidR="00D165D8">
        <w:rPr>
          <w:rFonts w:cs="Times New Roman"/>
          <w:szCs w:val="24"/>
        </w:rPr>
        <w:t xml:space="preserve"> and did not file a brief.</w:t>
      </w:r>
      <w:r w:rsidR="00316763">
        <w:rPr>
          <w:rFonts w:cs="Times New Roman"/>
          <w:szCs w:val="24"/>
        </w:rPr>
        <w:t xml:space="preserve"> </w:t>
      </w:r>
    </w:p>
    <w:p w14:paraId="32266043" w14:textId="77777777" w:rsidR="00D165D8" w:rsidRDefault="00D165D8" w:rsidP="00C52B4B">
      <w:pPr>
        <w:pStyle w:val="ListNumber"/>
        <w:numPr>
          <w:ilvl w:val="0"/>
          <w:numId w:val="0"/>
        </w:numPr>
        <w:rPr>
          <w:rFonts w:cs="Times New Roman"/>
          <w:szCs w:val="24"/>
        </w:rPr>
      </w:pPr>
    </w:p>
    <w:p w14:paraId="48985731" w14:textId="1B97ECC9" w:rsidR="00D165D8" w:rsidRDefault="00D165D8" w:rsidP="004A28FC">
      <w:pPr>
        <w:pStyle w:val="ListNumber"/>
        <w:numPr>
          <w:ilvl w:val="0"/>
          <w:numId w:val="0"/>
        </w:numPr>
        <w:ind w:firstLine="1440"/>
        <w:rPr>
          <w:rFonts w:cs="Times New Roman"/>
          <w:szCs w:val="24"/>
        </w:rPr>
      </w:pPr>
      <w:r>
        <w:rPr>
          <w:rFonts w:cs="Times New Roman"/>
          <w:szCs w:val="24"/>
        </w:rPr>
        <w:t xml:space="preserve">The Company filed its brief </w:t>
      </w:r>
      <w:r w:rsidR="006D16F6">
        <w:rPr>
          <w:rFonts w:cs="Times New Roman"/>
          <w:szCs w:val="24"/>
        </w:rPr>
        <w:t>on January 26, 2024</w:t>
      </w:r>
      <w:r w:rsidR="005A78EE">
        <w:rPr>
          <w:rFonts w:cs="Times New Roman"/>
          <w:szCs w:val="24"/>
        </w:rPr>
        <w:t xml:space="preserve">, and did not file any motions.  </w:t>
      </w:r>
    </w:p>
    <w:p w14:paraId="3C642F8D" w14:textId="77777777" w:rsidR="005A78EE" w:rsidRDefault="005A78EE" w:rsidP="004A28FC">
      <w:pPr>
        <w:pStyle w:val="ListNumber"/>
        <w:numPr>
          <w:ilvl w:val="0"/>
          <w:numId w:val="0"/>
        </w:numPr>
        <w:ind w:firstLine="1440"/>
        <w:rPr>
          <w:rFonts w:cs="Times New Roman"/>
          <w:szCs w:val="24"/>
        </w:rPr>
      </w:pPr>
    </w:p>
    <w:p w14:paraId="2D9CC61E" w14:textId="589B4382" w:rsidR="00D165D8" w:rsidRDefault="00495038" w:rsidP="004A28FC">
      <w:pPr>
        <w:pStyle w:val="ListNumber"/>
        <w:numPr>
          <w:ilvl w:val="0"/>
          <w:numId w:val="0"/>
        </w:numPr>
        <w:ind w:firstLine="1440"/>
        <w:rPr>
          <w:rFonts w:cs="Times New Roman"/>
          <w:szCs w:val="24"/>
        </w:rPr>
      </w:pPr>
      <w:r>
        <w:rPr>
          <w:rFonts w:cs="Times New Roman"/>
          <w:szCs w:val="24"/>
        </w:rPr>
        <w:t xml:space="preserve">It is now appropriate to rule upon Respondent’s objections to Complainant’s proposed late-filed exhibits. </w:t>
      </w:r>
    </w:p>
    <w:p w14:paraId="39F0CF4C" w14:textId="3868AF35" w:rsidR="00AB24BE" w:rsidRDefault="00A935A9" w:rsidP="00AB24BE">
      <w:pPr>
        <w:pStyle w:val="ListNumber"/>
        <w:numPr>
          <w:ilvl w:val="0"/>
          <w:numId w:val="0"/>
        </w:numPr>
        <w:rPr>
          <w:rFonts w:cs="Times New Roman"/>
          <w:szCs w:val="24"/>
        </w:rPr>
      </w:pPr>
      <w:r>
        <w:rPr>
          <w:rFonts w:cs="Times New Roman"/>
          <w:szCs w:val="24"/>
        </w:rPr>
        <w:lastRenderedPageBreak/>
        <w:tab/>
      </w:r>
      <w:r>
        <w:rPr>
          <w:rFonts w:cs="Times New Roman"/>
          <w:szCs w:val="24"/>
        </w:rPr>
        <w:tab/>
      </w:r>
      <w:r w:rsidR="00DF7DC3">
        <w:rPr>
          <w:rFonts w:cs="Times New Roman"/>
          <w:szCs w:val="24"/>
        </w:rPr>
        <w:t>Complainant served fifteen proposed exhibits on June 26, 2020</w:t>
      </w:r>
      <w:r w:rsidR="00631EEF">
        <w:rPr>
          <w:rFonts w:cs="Times New Roman"/>
          <w:szCs w:val="24"/>
        </w:rPr>
        <w:t xml:space="preserve">.  </w:t>
      </w:r>
      <w:proofErr w:type="gramStart"/>
      <w:r w:rsidR="009A6095">
        <w:rPr>
          <w:rFonts w:cs="Times New Roman"/>
          <w:szCs w:val="24"/>
        </w:rPr>
        <w:t xml:space="preserve">With the exception </w:t>
      </w:r>
      <w:r w:rsidR="007A4AB1">
        <w:rPr>
          <w:rFonts w:cs="Times New Roman"/>
          <w:szCs w:val="24"/>
        </w:rPr>
        <w:t>of</w:t>
      </w:r>
      <w:proofErr w:type="gramEnd"/>
      <w:r w:rsidR="007A4AB1">
        <w:rPr>
          <w:rFonts w:cs="Times New Roman"/>
          <w:szCs w:val="24"/>
        </w:rPr>
        <w:t xml:space="preserve"> </w:t>
      </w:r>
      <w:r w:rsidR="008017C5">
        <w:rPr>
          <w:rFonts w:cs="Times New Roman"/>
          <w:szCs w:val="24"/>
        </w:rPr>
        <w:t>two proposed exhibits, which are p</w:t>
      </w:r>
      <w:r w:rsidR="00AA51C6">
        <w:rPr>
          <w:rFonts w:cs="Times New Roman"/>
          <w:szCs w:val="24"/>
        </w:rPr>
        <w:t>urportedly related to a California court case</w:t>
      </w:r>
      <w:r w:rsidR="008017C5">
        <w:rPr>
          <w:rFonts w:cs="Times New Roman"/>
          <w:szCs w:val="24"/>
        </w:rPr>
        <w:t xml:space="preserve">, all were </w:t>
      </w:r>
      <w:r w:rsidR="00E44C2E">
        <w:rPr>
          <w:rFonts w:cs="Times New Roman"/>
          <w:szCs w:val="24"/>
        </w:rPr>
        <w:t>articles printed off the internet</w:t>
      </w:r>
      <w:r w:rsidR="00A9271F">
        <w:rPr>
          <w:rFonts w:cs="Times New Roman"/>
          <w:szCs w:val="24"/>
        </w:rPr>
        <w:t xml:space="preserve">.  </w:t>
      </w:r>
      <w:r w:rsidR="00631EEF">
        <w:rPr>
          <w:rFonts w:cs="Times New Roman"/>
          <w:szCs w:val="24"/>
        </w:rPr>
        <w:t xml:space="preserve">Respondent objected to all </w:t>
      </w:r>
      <w:r w:rsidR="00D87FFE">
        <w:rPr>
          <w:rFonts w:cs="Times New Roman"/>
          <w:szCs w:val="24"/>
        </w:rPr>
        <w:t>of them</w:t>
      </w:r>
      <w:r w:rsidR="00AD5339">
        <w:rPr>
          <w:rFonts w:cs="Times New Roman"/>
          <w:szCs w:val="24"/>
        </w:rPr>
        <w:t xml:space="preserve"> on various grounds: hearsay, relevance, </w:t>
      </w:r>
      <w:r w:rsidR="008B3A12">
        <w:rPr>
          <w:rFonts w:cs="Times New Roman"/>
          <w:szCs w:val="24"/>
        </w:rPr>
        <w:t>lack of authenticity</w:t>
      </w:r>
      <w:r w:rsidR="00454386">
        <w:rPr>
          <w:rFonts w:cs="Times New Roman"/>
          <w:szCs w:val="24"/>
        </w:rPr>
        <w:t>,</w:t>
      </w:r>
      <w:r w:rsidR="008B3A12">
        <w:rPr>
          <w:rFonts w:cs="Times New Roman"/>
          <w:szCs w:val="24"/>
        </w:rPr>
        <w:t xml:space="preserve"> and </w:t>
      </w:r>
      <w:r w:rsidR="00454386">
        <w:rPr>
          <w:rFonts w:cs="Times New Roman"/>
          <w:szCs w:val="24"/>
        </w:rPr>
        <w:t>inherent un</w:t>
      </w:r>
      <w:r w:rsidR="008B3A12">
        <w:rPr>
          <w:rFonts w:cs="Times New Roman"/>
          <w:szCs w:val="24"/>
        </w:rPr>
        <w:t xml:space="preserve">reliability. </w:t>
      </w:r>
    </w:p>
    <w:p w14:paraId="54BA6EBD" w14:textId="77777777" w:rsidR="008B3A12" w:rsidRDefault="008B3A12" w:rsidP="00AB24BE">
      <w:pPr>
        <w:pStyle w:val="ListNumber"/>
        <w:numPr>
          <w:ilvl w:val="0"/>
          <w:numId w:val="0"/>
        </w:numPr>
        <w:rPr>
          <w:rFonts w:cs="Times New Roman"/>
          <w:szCs w:val="24"/>
        </w:rPr>
      </w:pPr>
    </w:p>
    <w:p w14:paraId="52E286C6" w14:textId="4834AAEA" w:rsidR="008B3A12" w:rsidRDefault="008B3A12" w:rsidP="004C4A63">
      <w:pPr>
        <w:pStyle w:val="ListNumber"/>
        <w:numPr>
          <w:ilvl w:val="0"/>
          <w:numId w:val="0"/>
        </w:numPr>
        <w:tabs>
          <w:tab w:val="left" w:pos="720"/>
          <w:tab w:val="left" w:pos="1440"/>
          <w:tab w:val="left" w:pos="2160"/>
          <w:tab w:val="left" w:pos="3744"/>
        </w:tabs>
      </w:pPr>
      <w:r>
        <w:rPr>
          <w:rFonts w:cs="Times New Roman"/>
          <w:szCs w:val="24"/>
        </w:rPr>
        <w:tab/>
      </w:r>
      <w:r w:rsidR="0060486F">
        <w:rPr>
          <w:rFonts w:cs="Times New Roman"/>
          <w:szCs w:val="24"/>
        </w:rPr>
        <w:tab/>
      </w:r>
      <w:r w:rsidR="004C4A63">
        <w:t xml:space="preserve">Hearsay is an out-of-court statement offered to prove the truth of the matter asserted. </w:t>
      </w:r>
      <w:r w:rsidR="002B7903">
        <w:t xml:space="preserve"> </w:t>
      </w:r>
      <w:proofErr w:type="spellStart"/>
      <w:r w:rsidR="004C4A63">
        <w:t>Pa.R.E</w:t>
      </w:r>
      <w:proofErr w:type="spellEnd"/>
      <w:r w:rsidR="004C4A63">
        <w:t xml:space="preserve">. 801; </w:t>
      </w:r>
      <w:proofErr w:type="spellStart"/>
      <w:r w:rsidR="004C4A63" w:rsidRPr="004C4A63">
        <w:rPr>
          <w:i/>
          <w:iCs/>
        </w:rPr>
        <w:t>Bonegre</w:t>
      </w:r>
      <w:proofErr w:type="spellEnd"/>
      <w:r w:rsidR="004C4A63" w:rsidRPr="004C4A63">
        <w:rPr>
          <w:i/>
          <w:iCs/>
        </w:rPr>
        <w:t xml:space="preserve"> v. Workers’ Compensation Appeal Board</w:t>
      </w:r>
      <w:r w:rsidR="004C4A63">
        <w:t xml:space="preserve"> (</w:t>
      </w:r>
      <w:r w:rsidR="004C4A63" w:rsidRPr="004C4A63">
        <w:rPr>
          <w:i/>
          <w:iCs/>
        </w:rPr>
        <w:t>Bertolini’s</w:t>
      </w:r>
      <w:r w:rsidR="004C4A63">
        <w:t xml:space="preserve">), 863 A.2d 68, 72 (Pa. </w:t>
      </w:r>
      <w:proofErr w:type="spellStart"/>
      <w:r w:rsidR="004C4A63">
        <w:t>Cmwlth</w:t>
      </w:r>
      <w:proofErr w:type="spellEnd"/>
      <w:r w:rsidR="004C4A63">
        <w:t>. 2004). Ordinarily,</w:t>
      </w:r>
      <w:r w:rsidR="002B7903">
        <w:t xml:space="preserve"> hearsay evidence is inadmissible unless some exception applies.  </w:t>
      </w:r>
      <w:proofErr w:type="spellStart"/>
      <w:r w:rsidR="002B7903">
        <w:t>Pa.R.E</w:t>
      </w:r>
      <w:proofErr w:type="spellEnd"/>
      <w:r w:rsidR="002B7903">
        <w:t xml:space="preserve">. 802.  The hearsay rule is somewhat relaxed in proceedings before administrative agencies.  </w:t>
      </w:r>
      <w:proofErr w:type="spellStart"/>
      <w:r w:rsidR="002B7903" w:rsidRPr="002B7903">
        <w:rPr>
          <w:i/>
          <w:iCs/>
        </w:rPr>
        <w:t>Rox</w:t>
      </w:r>
      <w:proofErr w:type="spellEnd"/>
      <w:r w:rsidR="002B7903" w:rsidRPr="002B7903">
        <w:rPr>
          <w:i/>
          <w:iCs/>
        </w:rPr>
        <w:t xml:space="preserve"> Coal Co. v. Workers’ Comp. Appeal Bd</w:t>
      </w:r>
      <w:r w:rsidR="002B7903">
        <w:t>. (</w:t>
      </w:r>
      <w:proofErr w:type="spellStart"/>
      <w:r w:rsidR="002B7903" w:rsidRPr="002B7903">
        <w:rPr>
          <w:i/>
          <w:iCs/>
        </w:rPr>
        <w:t>Snizaski</w:t>
      </w:r>
      <w:proofErr w:type="spellEnd"/>
      <w:r w:rsidR="002B7903">
        <w:t>), 570 Pa. 60, 807 A.2d 906 (2002).  The Commonwealth Court established what is commonly called the “Walker Rule” to apply to the use of hearsay evidence during administrative proceedings</w:t>
      </w:r>
      <w:r w:rsidR="00AE429C">
        <w:t xml:space="preserve">: (1)   </w:t>
      </w:r>
      <w:r w:rsidR="00FB7EF7">
        <w:t>h</w:t>
      </w:r>
      <w:r w:rsidR="00AE429C">
        <w:t xml:space="preserve">earsay evidence, properly objected to, is not competent evidence to support a finding, and (2) </w:t>
      </w:r>
      <w:r w:rsidR="00FB7EF7">
        <w:t>hearsay evidence, admitted without objection, will be given its natural probative effect and may support a finding, if it is corroborated by any competent evidence in the record, but a finding of fact based solely on hearsay will not stand.</w:t>
      </w:r>
      <w:r w:rsidR="002049B9">
        <w:t xml:space="preserve">  </w:t>
      </w:r>
      <w:r w:rsidR="002049B9" w:rsidRPr="002049B9">
        <w:rPr>
          <w:i/>
          <w:iCs/>
        </w:rPr>
        <w:t>Walker v. Unemployment Comp. Bd. of Review</w:t>
      </w:r>
      <w:r w:rsidR="002049B9">
        <w:t xml:space="preserve">, 367 A.2d 366, 370 (Pa. </w:t>
      </w:r>
      <w:proofErr w:type="spellStart"/>
      <w:r w:rsidR="002049B9">
        <w:t>Cmwlth</w:t>
      </w:r>
      <w:proofErr w:type="spellEnd"/>
      <w:r w:rsidR="002049B9">
        <w:t xml:space="preserve">. 1976).  The “Walker Rule” has been affirmed by the Pennsylvania Supreme Court.  </w:t>
      </w:r>
      <w:proofErr w:type="spellStart"/>
      <w:r w:rsidR="002049B9" w:rsidRPr="002049B9">
        <w:rPr>
          <w:i/>
          <w:iCs/>
        </w:rPr>
        <w:t>Rox</w:t>
      </w:r>
      <w:proofErr w:type="spellEnd"/>
      <w:r w:rsidR="002049B9" w:rsidRPr="002049B9">
        <w:rPr>
          <w:i/>
          <w:iCs/>
        </w:rPr>
        <w:t xml:space="preserve"> Coal Co. v. Workers’ Comp. Appeal Bd.</w:t>
      </w:r>
      <w:r w:rsidR="002049B9">
        <w:t xml:space="preserve"> (</w:t>
      </w:r>
      <w:proofErr w:type="spellStart"/>
      <w:r w:rsidR="00E524AE" w:rsidRPr="002B7903">
        <w:rPr>
          <w:i/>
          <w:iCs/>
        </w:rPr>
        <w:t>Snizaski</w:t>
      </w:r>
      <w:proofErr w:type="spellEnd"/>
      <w:r w:rsidR="002049B9">
        <w:t>), 570 Pa. 60, 807 A.2d 906 (2002</w:t>
      </w:r>
      <w:r w:rsidR="00E524AE">
        <w:t>).</w:t>
      </w:r>
    </w:p>
    <w:p w14:paraId="746D881C" w14:textId="77777777" w:rsidR="00AE1CE4" w:rsidRDefault="00AE1CE4" w:rsidP="004C4A63">
      <w:pPr>
        <w:pStyle w:val="ListNumber"/>
        <w:numPr>
          <w:ilvl w:val="0"/>
          <w:numId w:val="0"/>
        </w:numPr>
        <w:tabs>
          <w:tab w:val="left" w:pos="720"/>
          <w:tab w:val="left" w:pos="1440"/>
          <w:tab w:val="left" w:pos="2160"/>
          <w:tab w:val="left" w:pos="3744"/>
        </w:tabs>
      </w:pPr>
    </w:p>
    <w:p w14:paraId="49981E73" w14:textId="77777777" w:rsidR="005F69DF" w:rsidRDefault="00AE1CE4" w:rsidP="004C4A63">
      <w:pPr>
        <w:pStyle w:val="ListNumber"/>
        <w:numPr>
          <w:ilvl w:val="0"/>
          <w:numId w:val="0"/>
        </w:numPr>
        <w:tabs>
          <w:tab w:val="left" w:pos="720"/>
          <w:tab w:val="left" w:pos="1440"/>
          <w:tab w:val="left" w:pos="2160"/>
          <w:tab w:val="left" w:pos="3744"/>
        </w:tabs>
      </w:pPr>
      <w:r>
        <w:tab/>
      </w:r>
      <w:r>
        <w:tab/>
      </w:r>
      <w:r w:rsidR="00EF345E">
        <w:t>Several of the Complainant’s exhibits constitute or contain hearsay because they include out of court statements being offered for the truth of the matter asserted.  In addition, some of the exhibits contain hearsay within hearsay</w:t>
      </w:r>
      <w:r w:rsidR="00895C09">
        <w:t xml:space="preserve"> because the documents purport to quote from and/or characterize the views of </w:t>
      </w:r>
      <w:proofErr w:type="gramStart"/>
      <w:r w:rsidR="00895C09">
        <w:t>third-parties</w:t>
      </w:r>
      <w:proofErr w:type="gramEnd"/>
      <w:r w:rsidR="00EF345E">
        <w:t xml:space="preserve">.  </w:t>
      </w:r>
      <w:r w:rsidR="003D1601">
        <w:t xml:space="preserve">Many of the </w:t>
      </w:r>
      <w:proofErr w:type="gramStart"/>
      <w:r w:rsidR="003D1601">
        <w:t>exhibits</w:t>
      </w:r>
      <w:proofErr w:type="gramEnd"/>
      <w:r w:rsidR="003D1601">
        <w:t xml:space="preserve"> quote, cite, or reference statements that were not written by the Complainant.  Moreover, the Complainant did not call any individuals, such as the authors of these various materials or the quoted declarants, to testify at the hearing and authenticate the statements therein.  Therefore, these are out of court statements being offered for the truth of the matters asserted.</w:t>
      </w:r>
      <w:r w:rsidR="00A270C1">
        <w:t xml:space="preserve">  There is no exception </w:t>
      </w:r>
      <w:r w:rsidR="00CC76B5">
        <w:t xml:space="preserve">to the hearsay rule that would apply to these </w:t>
      </w:r>
      <w:r w:rsidR="00BE0FC0">
        <w:t xml:space="preserve">proposed </w:t>
      </w:r>
      <w:r w:rsidR="00CC76B5">
        <w:t>exhibits</w:t>
      </w:r>
      <w:r w:rsidR="00BE0FC0">
        <w:t xml:space="preserve"> to permit their admissibility.  </w:t>
      </w:r>
    </w:p>
    <w:p w14:paraId="63589E7E" w14:textId="77777777" w:rsidR="005F69DF" w:rsidRDefault="005F69DF" w:rsidP="004C4A63">
      <w:pPr>
        <w:pStyle w:val="ListNumber"/>
        <w:numPr>
          <w:ilvl w:val="0"/>
          <w:numId w:val="0"/>
        </w:numPr>
        <w:tabs>
          <w:tab w:val="left" w:pos="720"/>
          <w:tab w:val="left" w:pos="1440"/>
          <w:tab w:val="left" w:pos="2160"/>
          <w:tab w:val="left" w:pos="3744"/>
        </w:tabs>
      </w:pPr>
    </w:p>
    <w:p w14:paraId="6F0B7968" w14:textId="77777777" w:rsidR="00BE6CC4" w:rsidRDefault="005F69DF" w:rsidP="004C4A63">
      <w:pPr>
        <w:pStyle w:val="ListNumber"/>
        <w:numPr>
          <w:ilvl w:val="0"/>
          <w:numId w:val="0"/>
        </w:numPr>
        <w:tabs>
          <w:tab w:val="left" w:pos="720"/>
          <w:tab w:val="left" w:pos="1440"/>
          <w:tab w:val="left" w:pos="2160"/>
          <w:tab w:val="left" w:pos="3744"/>
        </w:tabs>
      </w:pPr>
      <w:r>
        <w:tab/>
      </w:r>
      <w:r>
        <w:tab/>
      </w:r>
    </w:p>
    <w:p w14:paraId="3A0C2AA1" w14:textId="263D6C7D" w:rsidR="00AE1CE4" w:rsidRPr="005671FD" w:rsidRDefault="004D3692" w:rsidP="00BE6CC4">
      <w:pPr>
        <w:pStyle w:val="ListNumber"/>
        <w:numPr>
          <w:ilvl w:val="0"/>
          <w:numId w:val="0"/>
        </w:numPr>
        <w:tabs>
          <w:tab w:val="left" w:pos="720"/>
          <w:tab w:val="left" w:pos="1440"/>
          <w:tab w:val="left" w:pos="2160"/>
          <w:tab w:val="left" w:pos="3744"/>
        </w:tabs>
        <w:jc w:val="center"/>
      </w:pPr>
      <w:r w:rsidRPr="00FB7B2E">
        <w:rPr>
          <w:b/>
          <w:bCs/>
        </w:rPr>
        <w:lastRenderedPageBreak/>
        <w:t>All of Complainant’s proposed exhibits are inadmissible hearsay</w:t>
      </w:r>
      <w:r w:rsidR="002A0ACC" w:rsidRPr="00FB7B2E">
        <w:rPr>
          <w:b/>
          <w:bCs/>
        </w:rPr>
        <w:t>.</w:t>
      </w:r>
    </w:p>
    <w:p w14:paraId="34D5C3D9" w14:textId="77777777" w:rsidR="00B9686C" w:rsidRDefault="00BE0FC0" w:rsidP="004C4A63">
      <w:pPr>
        <w:pStyle w:val="ListNumber"/>
        <w:numPr>
          <w:ilvl w:val="0"/>
          <w:numId w:val="0"/>
        </w:numPr>
        <w:tabs>
          <w:tab w:val="left" w:pos="720"/>
          <w:tab w:val="left" w:pos="1440"/>
          <w:tab w:val="left" w:pos="2160"/>
          <w:tab w:val="left" w:pos="3744"/>
        </w:tabs>
      </w:pPr>
      <w:r>
        <w:tab/>
      </w:r>
      <w:r w:rsidR="00A177F4">
        <w:tab/>
      </w:r>
    </w:p>
    <w:p w14:paraId="5ECF0ECE" w14:textId="07C732E7" w:rsidR="001D7F71" w:rsidRDefault="00B9686C" w:rsidP="004C4A63">
      <w:pPr>
        <w:pStyle w:val="ListNumber"/>
        <w:numPr>
          <w:ilvl w:val="0"/>
          <w:numId w:val="0"/>
        </w:numPr>
        <w:tabs>
          <w:tab w:val="left" w:pos="720"/>
          <w:tab w:val="left" w:pos="1440"/>
          <w:tab w:val="left" w:pos="2160"/>
          <w:tab w:val="left" w:pos="3744"/>
        </w:tabs>
      </w:pPr>
      <w:r>
        <w:tab/>
      </w:r>
      <w:r w:rsidR="002239BA">
        <w:t xml:space="preserve">In addition to the </w:t>
      </w:r>
      <w:r w:rsidR="00422157">
        <w:t xml:space="preserve">proposed </w:t>
      </w:r>
      <w:r w:rsidR="002239BA">
        <w:t xml:space="preserve">exhibits </w:t>
      </w:r>
      <w:r w:rsidR="00D4446A">
        <w:t>being inadmissible as</w:t>
      </w:r>
      <w:r w:rsidR="002239BA">
        <w:t xml:space="preserve"> hearsay, </w:t>
      </w:r>
      <w:r w:rsidR="00422157">
        <w:t xml:space="preserve">they </w:t>
      </w:r>
      <w:r w:rsidR="001D44EB">
        <w:t xml:space="preserve">also </w:t>
      </w:r>
      <w:r w:rsidR="00EB6A87">
        <w:t xml:space="preserve">lack </w:t>
      </w:r>
      <w:r w:rsidR="00B656E3">
        <w:t>relevance</w:t>
      </w:r>
      <w:r w:rsidR="001D7F71">
        <w:t xml:space="preserve"> and</w:t>
      </w:r>
      <w:r w:rsidR="00B656E3">
        <w:t xml:space="preserve"> </w:t>
      </w:r>
      <w:r w:rsidR="00EB6A87">
        <w:t xml:space="preserve">authenticity and are </w:t>
      </w:r>
      <w:r w:rsidR="0002522B">
        <w:t>inherently unreliable</w:t>
      </w:r>
      <w:r w:rsidR="001D44EB">
        <w:t xml:space="preserve">.  </w:t>
      </w:r>
    </w:p>
    <w:p w14:paraId="4180D28F" w14:textId="77777777" w:rsidR="00A76CBF" w:rsidRDefault="00A76CBF" w:rsidP="004C4A63">
      <w:pPr>
        <w:pStyle w:val="ListNumber"/>
        <w:numPr>
          <w:ilvl w:val="0"/>
          <w:numId w:val="0"/>
        </w:numPr>
        <w:tabs>
          <w:tab w:val="left" w:pos="720"/>
          <w:tab w:val="left" w:pos="1440"/>
          <w:tab w:val="left" w:pos="2160"/>
          <w:tab w:val="left" w:pos="3744"/>
        </w:tabs>
      </w:pPr>
    </w:p>
    <w:p w14:paraId="59F68C45" w14:textId="12BF1BB8" w:rsidR="00A76CBF" w:rsidRDefault="00A76CBF" w:rsidP="004C4A63">
      <w:pPr>
        <w:pStyle w:val="ListNumber"/>
        <w:numPr>
          <w:ilvl w:val="0"/>
          <w:numId w:val="0"/>
        </w:numPr>
        <w:tabs>
          <w:tab w:val="left" w:pos="720"/>
          <w:tab w:val="left" w:pos="1440"/>
          <w:tab w:val="left" w:pos="2160"/>
          <w:tab w:val="left" w:pos="3744"/>
        </w:tabs>
      </w:pPr>
      <w:r>
        <w:tab/>
      </w:r>
      <w:r>
        <w:tab/>
      </w:r>
      <w:r w:rsidR="00B4185D">
        <w:t xml:space="preserve">Evidence is relevant if: (a) it has any tendency to make a fact </w:t>
      </w:r>
      <w:proofErr w:type="gramStart"/>
      <w:r w:rsidR="00B4185D">
        <w:t>more or less probable</w:t>
      </w:r>
      <w:proofErr w:type="gramEnd"/>
      <w:r w:rsidR="00B4185D">
        <w:t xml:space="preserve"> than it would be without the evidence; and (b) the fact is of consequence in determining the action.  </w:t>
      </w:r>
      <w:r w:rsidR="00B4185D" w:rsidRPr="00B4185D">
        <w:rPr>
          <w:i/>
          <w:iCs/>
        </w:rPr>
        <w:t>See</w:t>
      </w:r>
      <w:r w:rsidR="00B4185D">
        <w:t xml:space="preserve"> </w:t>
      </w:r>
      <w:proofErr w:type="spellStart"/>
      <w:r w:rsidR="00B4185D">
        <w:t>Pa.R.E</w:t>
      </w:r>
      <w:proofErr w:type="spellEnd"/>
      <w:r w:rsidR="00B4185D">
        <w:t xml:space="preserve">. 401; </w:t>
      </w:r>
      <w:r w:rsidR="00B4185D" w:rsidRPr="00B4185D">
        <w:rPr>
          <w:i/>
          <w:iCs/>
        </w:rPr>
        <w:t>Ecker v. Amtrak</w:t>
      </w:r>
      <w:r w:rsidR="00B4185D">
        <w:t xml:space="preserve">, 2015 Phila. Ct. Com. Pl. LEXIS 98 (Mar. 13, 2015), affirmed, 2015 Pa. Super. </w:t>
      </w:r>
      <w:proofErr w:type="spellStart"/>
      <w:r w:rsidR="00B4185D">
        <w:t>Unpub</w:t>
      </w:r>
      <w:proofErr w:type="spellEnd"/>
      <w:r w:rsidR="00B4185D">
        <w:t xml:space="preserve">. LEXIS 3615 (Pa. Super. 2015); </w:t>
      </w:r>
      <w:r w:rsidR="00B4185D" w:rsidRPr="00B4185D">
        <w:rPr>
          <w:i/>
          <w:iCs/>
        </w:rPr>
        <w:t>Parr v. Ford Motor Co</w:t>
      </w:r>
      <w:r w:rsidR="00B4185D">
        <w:t>., 109 A.3d 682 (Pa. Super. 2014), appeal denied, 2015 Pa. LEXIS 1150 (Pa. 2015)</w:t>
      </w:r>
      <w:r w:rsidR="00BE00ED">
        <w:t xml:space="preserve"> (</w:t>
      </w:r>
      <w:r w:rsidR="00BE00ED">
        <w:rPr>
          <w:i/>
          <w:iCs/>
        </w:rPr>
        <w:t>Parr</w:t>
      </w:r>
      <w:r w:rsidR="00BE00ED">
        <w:t>)</w:t>
      </w:r>
      <w:r w:rsidR="00B4185D">
        <w:t>.  Even if evidence is relevant, such evidence may be excluded if its probative value is outweighed by a danger of one or more of the following: unfair prejudice, confusing the issues, misleading the jury, undue delay, wasting time, or needlessly presenting cumulative evidence.</w:t>
      </w:r>
      <w:r w:rsidR="0078140A">
        <w:t xml:space="preserve"> </w:t>
      </w:r>
      <w:r w:rsidR="00B4185D">
        <w:t xml:space="preserve"> </w:t>
      </w:r>
      <w:r w:rsidR="00B4185D" w:rsidRPr="0078140A">
        <w:rPr>
          <w:i/>
          <w:iCs/>
        </w:rPr>
        <w:t>Parr</w:t>
      </w:r>
      <w:r w:rsidR="00B4185D">
        <w:t xml:space="preserve">, 109 A.3d at 697 (quoting </w:t>
      </w:r>
      <w:proofErr w:type="spellStart"/>
      <w:r w:rsidR="00B4185D">
        <w:t>Pa.R.E</w:t>
      </w:r>
      <w:proofErr w:type="spellEnd"/>
      <w:r w:rsidR="00B4185D">
        <w:t>. 403)</w:t>
      </w:r>
      <w:r w:rsidR="00BE00ED">
        <w:t xml:space="preserve">.  </w:t>
      </w:r>
    </w:p>
    <w:p w14:paraId="3C26EE45" w14:textId="77777777" w:rsidR="00DE3879" w:rsidRDefault="00DE3879" w:rsidP="004C4A63">
      <w:pPr>
        <w:pStyle w:val="ListNumber"/>
        <w:numPr>
          <w:ilvl w:val="0"/>
          <w:numId w:val="0"/>
        </w:numPr>
        <w:tabs>
          <w:tab w:val="left" w:pos="720"/>
          <w:tab w:val="left" w:pos="1440"/>
          <w:tab w:val="left" w:pos="2160"/>
          <w:tab w:val="left" w:pos="3744"/>
        </w:tabs>
      </w:pPr>
    </w:p>
    <w:p w14:paraId="6FCECF42" w14:textId="214FA914" w:rsidR="00DE3879" w:rsidRDefault="00DE3879" w:rsidP="004C4A63">
      <w:pPr>
        <w:pStyle w:val="ListNumber"/>
        <w:numPr>
          <w:ilvl w:val="0"/>
          <w:numId w:val="0"/>
        </w:numPr>
        <w:tabs>
          <w:tab w:val="left" w:pos="720"/>
          <w:tab w:val="left" w:pos="1440"/>
          <w:tab w:val="left" w:pos="2160"/>
          <w:tab w:val="left" w:pos="3744"/>
        </w:tabs>
      </w:pPr>
      <w:r>
        <w:tab/>
      </w:r>
      <w:r>
        <w:tab/>
        <w:t>The contents of several of the proposed exhibits are irrelevant because they address exposures other than the RF fields from the AMI meters being used by Met-Ed and largely do not address issues relevant to the installation of AMI meters in Pennsylvania.</w:t>
      </w:r>
    </w:p>
    <w:p w14:paraId="5A4CAC52" w14:textId="77777777" w:rsidR="0044200F" w:rsidRDefault="0044200F" w:rsidP="004C4A63">
      <w:pPr>
        <w:pStyle w:val="ListNumber"/>
        <w:numPr>
          <w:ilvl w:val="0"/>
          <w:numId w:val="0"/>
        </w:numPr>
        <w:tabs>
          <w:tab w:val="left" w:pos="720"/>
          <w:tab w:val="left" w:pos="1440"/>
          <w:tab w:val="left" w:pos="2160"/>
          <w:tab w:val="left" w:pos="3744"/>
        </w:tabs>
      </w:pPr>
    </w:p>
    <w:p w14:paraId="060919BF" w14:textId="26F5C6AB" w:rsidR="0044200F" w:rsidRDefault="0044200F" w:rsidP="004C4A63">
      <w:pPr>
        <w:pStyle w:val="ListNumber"/>
        <w:numPr>
          <w:ilvl w:val="0"/>
          <w:numId w:val="0"/>
        </w:numPr>
        <w:tabs>
          <w:tab w:val="left" w:pos="720"/>
          <w:tab w:val="left" w:pos="1440"/>
          <w:tab w:val="left" w:pos="2160"/>
          <w:tab w:val="left" w:pos="3744"/>
        </w:tabs>
      </w:pPr>
      <w:r>
        <w:tab/>
      </w:r>
      <w:r>
        <w:tab/>
        <w:t xml:space="preserve">To satisfy the requirement of authenticating or identifying an item of evidence, the proponent must produce evidence sufficient to support a finding that the item is what the proponent claims it is.  </w:t>
      </w:r>
      <w:r w:rsidRPr="0044200F">
        <w:rPr>
          <w:i/>
          <w:iCs/>
        </w:rPr>
        <w:t>See</w:t>
      </w:r>
      <w:r>
        <w:t xml:space="preserve"> </w:t>
      </w:r>
      <w:proofErr w:type="spellStart"/>
      <w:r>
        <w:t>Pa.R.E</w:t>
      </w:r>
      <w:proofErr w:type="spellEnd"/>
      <w:r>
        <w:t>. 901(a)</w:t>
      </w:r>
      <w:r w:rsidR="000155BF">
        <w:t>.  W</w:t>
      </w:r>
      <w:r>
        <w:t xml:space="preserve">hen a party offers evidence contending either expressly or impliedly that the evidence </w:t>
      </w:r>
      <w:proofErr w:type="gramStart"/>
      <w:r>
        <w:t>is connected with</w:t>
      </w:r>
      <w:proofErr w:type="gramEnd"/>
      <w:r>
        <w:t xml:space="preserve"> a person, place, thing, or event, the party must provide evidence sufficient to support a finding of the contended connection.</w:t>
      </w:r>
      <w:r w:rsidR="000155BF">
        <w:t xml:space="preserve"> </w:t>
      </w:r>
      <w:r>
        <w:t xml:space="preserve"> </w:t>
      </w:r>
      <w:proofErr w:type="spellStart"/>
      <w:r>
        <w:t>Pa.R.E</w:t>
      </w:r>
      <w:proofErr w:type="spellEnd"/>
      <w:r>
        <w:t xml:space="preserve">. 901, </w:t>
      </w:r>
      <w:proofErr w:type="spellStart"/>
      <w:r>
        <w:t>cmt</w:t>
      </w:r>
      <w:proofErr w:type="spellEnd"/>
      <w:r>
        <w:t xml:space="preserve">. (citing </w:t>
      </w:r>
      <w:r w:rsidRPr="000155BF">
        <w:rPr>
          <w:i/>
          <w:iCs/>
        </w:rPr>
        <w:t>Commonwealth v. Hudson</w:t>
      </w:r>
      <w:r>
        <w:t xml:space="preserve">, 414 A.2d 1381 (Pa. 1980); </w:t>
      </w:r>
      <w:r w:rsidRPr="000155BF">
        <w:rPr>
          <w:i/>
          <w:iCs/>
        </w:rPr>
        <w:t>Commonwealth v. Pollock</w:t>
      </w:r>
      <w:r>
        <w:t>, 606 A.2d 500 (Pa. Super. 1992)).</w:t>
      </w:r>
    </w:p>
    <w:p w14:paraId="3EAF31B5" w14:textId="77777777" w:rsidR="00912BA7" w:rsidRDefault="00912BA7" w:rsidP="004C4A63">
      <w:pPr>
        <w:pStyle w:val="ListNumber"/>
        <w:numPr>
          <w:ilvl w:val="0"/>
          <w:numId w:val="0"/>
        </w:numPr>
        <w:tabs>
          <w:tab w:val="left" w:pos="720"/>
          <w:tab w:val="left" w:pos="1440"/>
          <w:tab w:val="left" w:pos="2160"/>
          <w:tab w:val="left" w:pos="3744"/>
        </w:tabs>
      </w:pPr>
    </w:p>
    <w:p w14:paraId="39EC8AFC" w14:textId="7EA39434" w:rsidR="00BE0FC0" w:rsidRDefault="00912BA7" w:rsidP="004C4A63">
      <w:pPr>
        <w:pStyle w:val="ListNumber"/>
        <w:numPr>
          <w:ilvl w:val="0"/>
          <w:numId w:val="0"/>
        </w:numPr>
        <w:tabs>
          <w:tab w:val="left" w:pos="720"/>
          <w:tab w:val="left" w:pos="1440"/>
          <w:tab w:val="left" w:pos="2160"/>
          <w:tab w:val="left" w:pos="3744"/>
        </w:tabs>
      </w:pPr>
      <w:r>
        <w:tab/>
      </w:r>
      <w:r>
        <w:tab/>
        <w:t xml:space="preserve">Many of the Complainant’s proposed exhibits lack authenticity and are inherently unreliable because they are incomplete portions of </w:t>
      </w:r>
      <w:r w:rsidR="00DA54F4">
        <w:t>documents or</w:t>
      </w:r>
      <w:r>
        <w:t xml:space="preserve"> are documents from unknown authors or from authors who have not been called as a witness in this proceeding.  Certain of th</w:t>
      </w:r>
      <w:r w:rsidR="009B6F70">
        <w:t>e</w:t>
      </w:r>
      <w:r>
        <w:t xml:space="preserve">se documents appear to have </w:t>
      </w:r>
      <w:r w:rsidR="009B6F70">
        <w:t xml:space="preserve">been </w:t>
      </w:r>
      <w:r>
        <w:t xml:space="preserve">sourced from the websites of anti-EMF/RF advocacy </w:t>
      </w:r>
      <w:r>
        <w:lastRenderedPageBreak/>
        <w:t>groups</w:t>
      </w:r>
      <w:r w:rsidR="009B6F70">
        <w:t>, and t</w:t>
      </w:r>
      <w:r>
        <w:t xml:space="preserve">hese types of anonymous and/or advocacy materials cannot be relied on as providing reliable and balanced statements about medical and scientific issues. </w:t>
      </w:r>
      <w:r w:rsidR="009B6F70">
        <w:t xml:space="preserve"> </w:t>
      </w:r>
      <w:r>
        <w:t>Met-Ed has not been provided the opportunity to cross examine the authors of these documents.</w:t>
      </w:r>
      <w:r w:rsidR="00EF257F">
        <w:t xml:space="preserve">  </w:t>
      </w:r>
      <w:r w:rsidR="001D44EB">
        <w:t>The record does not contain information on who the authors are, their qualifications, the basis for their claims</w:t>
      </w:r>
      <w:r w:rsidR="005C5435">
        <w:t xml:space="preserve">, or </w:t>
      </w:r>
      <w:r w:rsidR="009B46CB">
        <w:t>what potential biases they may have</w:t>
      </w:r>
      <w:r w:rsidR="001D44EB">
        <w:t xml:space="preserve">.  </w:t>
      </w:r>
      <w:r w:rsidR="0007326B">
        <w:t xml:space="preserve">Simply, just because a </w:t>
      </w:r>
      <w:r w:rsidR="00C516EF">
        <w:t xml:space="preserve">document is available online, it does not </w:t>
      </w:r>
      <w:r w:rsidR="00810B35">
        <w:t xml:space="preserve">necessarily </w:t>
      </w:r>
      <w:r w:rsidR="00C516EF">
        <w:t xml:space="preserve">mean the document contains accurate or reliable information.  </w:t>
      </w:r>
    </w:p>
    <w:p w14:paraId="2807A426" w14:textId="77777777" w:rsidR="00EF257F" w:rsidRDefault="00EF257F" w:rsidP="004C4A63">
      <w:pPr>
        <w:pStyle w:val="ListNumber"/>
        <w:numPr>
          <w:ilvl w:val="0"/>
          <w:numId w:val="0"/>
        </w:numPr>
        <w:tabs>
          <w:tab w:val="left" w:pos="720"/>
          <w:tab w:val="left" w:pos="1440"/>
          <w:tab w:val="left" w:pos="2160"/>
          <w:tab w:val="left" w:pos="3744"/>
        </w:tabs>
      </w:pPr>
    </w:p>
    <w:p w14:paraId="1BFA3842" w14:textId="113FD1C6" w:rsidR="00EF257F" w:rsidRDefault="00EF257F" w:rsidP="004C4A63">
      <w:pPr>
        <w:pStyle w:val="ListNumber"/>
        <w:numPr>
          <w:ilvl w:val="0"/>
          <w:numId w:val="0"/>
        </w:numPr>
        <w:tabs>
          <w:tab w:val="left" w:pos="720"/>
          <w:tab w:val="left" w:pos="1440"/>
          <w:tab w:val="left" w:pos="2160"/>
          <w:tab w:val="left" w:pos="3744"/>
        </w:tabs>
      </w:pPr>
      <w:r>
        <w:tab/>
      </w:r>
      <w:r>
        <w:tab/>
        <w:t xml:space="preserve">Therefore, Respondent’s objections to Complainant’s proposed exhibits are </w:t>
      </w:r>
      <w:r w:rsidR="005C5435">
        <w:t xml:space="preserve">sustained.  The Complainant’s proposed late-filed exhibits are not admitted and are not part of the evidentiary record.  </w:t>
      </w:r>
    </w:p>
    <w:p w14:paraId="4F8C9964" w14:textId="77777777" w:rsidR="00D157D2" w:rsidRDefault="00D157D2" w:rsidP="008E74E4">
      <w:pPr>
        <w:spacing w:after="0"/>
        <w:ind w:firstLine="1440"/>
      </w:pPr>
    </w:p>
    <w:p w14:paraId="594CD883" w14:textId="355059CF" w:rsidR="005B7FB5" w:rsidRDefault="00C45445" w:rsidP="00C043BF">
      <w:pPr>
        <w:spacing w:after="0" w:line="276" w:lineRule="auto"/>
        <w:ind w:firstLine="1440"/>
      </w:pPr>
      <w:r>
        <w:t xml:space="preserve">THEREFORE, </w:t>
      </w:r>
    </w:p>
    <w:p w14:paraId="038C111D" w14:textId="77777777" w:rsidR="008E74E4" w:rsidRDefault="008E74E4" w:rsidP="008E74E4">
      <w:pPr>
        <w:spacing w:after="0"/>
        <w:ind w:firstLine="1440"/>
      </w:pPr>
    </w:p>
    <w:p w14:paraId="31D3BA32" w14:textId="2F7949F2" w:rsidR="00C45445" w:rsidRDefault="00C45445" w:rsidP="008E74E4">
      <w:pPr>
        <w:spacing w:after="0"/>
        <w:ind w:firstLine="1440"/>
      </w:pPr>
      <w:r>
        <w:t>IT IS ORDERED:</w:t>
      </w:r>
    </w:p>
    <w:p w14:paraId="5B169C88" w14:textId="77777777" w:rsidR="008E74E4" w:rsidRDefault="008E74E4" w:rsidP="008E74E4">
      <w:pPr>
        <w:spacing w:after="0"/>
        <w:ind w:firstLine="1440"/>
      </w:pPr>
    </w:p>
    <w:p w14:paraId="229AEE20" w14:textId="638579FE" w:rsidR="000100E4" w:rsidRDefault="000C2662" w:rsidP="00724628">
      <w:pPr>
        <w:pStyle w:val="ListParagraph"/>
        <w:numPr>
          <w:ilvl w:val="0"/>
          <w:numId w:val="38"/>
        </w:numPr>
        <w:spacing w:after="0"/>
      </w:pPr>
      <w:r>
        <w:t xml:space="preserve">That the </w:t>
      </w:r>
      <w:r w:rsidR="007C5B36">
        <w:t xml:space="preserve">Company’s Objections to Complainant’s proposed late-filed exhibits </w:t>
      </w:r>
      <w:r w:rsidR="00724628">
        <w:t xml:space="preserve">are sustained.  </w:t>
      </w:r>
    </w:p>
    <w:p w14:paraId="0B39D4AA" w14:textId="77777777" w:rsidR="005E1E4A" w:rsidRDefault="005E1E4A" w:rsidP="005E1E4A">
      <w:pPr>
        <w:pStyle w:val="ListParagraph"/>
        <w:spacing w:after="0"/>
        <w:ind w:left="2160" w:firstLine="0"/>
      </w:pPr>
    </w:p>
    <w:p w14:paraId="4411375B" w14:textId="5BAFB432" w:rsidR="00724628" w:rsidRDefault="00724628" w:rsidP="00724628">
      <w:pPr>
        <w:pStyle w:val="ListParagraph"/>
        <w:numPr>
          <w:ilvl w:val="0"/>
          <w:numId w:val="38"/>
        </w:numPr>
        <w:spacing w:after="0"/>
      </w:pPr>
      <w:r>
        <w:t xml:space="preserve">That Complainant’s fifteen proposed exhibits </w:t>
      </w:r>
      <w:r w:rsidR="006C1F07">
        <w:t xml:space="preserve">served </w:t>
      </w:r>
      <w:r w:rsidR="00BF0B9D">
        <w:t xml:space="preserve">upon me </w:t>
      </w:r>
      <w:r w:rsidR="006C1F07">
        <w:t xml:space="preserve">on June 26, 2020, are not admitted into the evidentiary record.   </w:t>
      </w:r>
    </w:p>
    <w:p w14:paraId="4F5CEA2D" w14:textId="77777777" w:rsidR="005E1E4A" w:rsidRDefault="005E1E4A" w:rsidP="005E1E4A">
      <w:pPr>
        <w:pStyle w:val="ListParagraph"/>
        <w:spacing w:after="0"/>
        <w:ind w:left="2160" w:firstLine="0"/>
      </w:pPr>
    </w:p>
    <w:p w14:paraId="04131AC7" w14:textId="77777777" w:rsidR="005E1E4A" w:rsidRDefault="005E1E4A" w:rsidP="005E1E4A">
      <w:pPr>
        <w:pStyle w:val="ListParagraph"/>
        <w:numPr>
          <w:ilvl w:val="0"/>
          <w:numId w:val="38"/>
        </w:numPr>
        <w:tabs>
          <w:tab w:val="left" w:pos="1440"/>
        </w:tabs>
        <w:spacing w:after="0"/>
        <w:contextualSpacing/>
        <w:rPr>
          <w:rFonts w:eastAsia="Times New Roman" w:cs="Times New Roman"/>
          <w:szCs w:val="24"/>
        </w:rPr>
      </w:pPr>
      <w:r>
        <w:rPr>
          <w:rFonts w:eastAsia="Times New Roman" w:cs="Times New Roman"/>
          <w:szCs w:val="24"/>
        </w:rPr>
        <w:t xml:space="preserve">That the evidentiary record in this matter is closed. </w:t>
      </w:r>
    </w:p>
    <w:p w14:paraId="6BF70421" w14:textId="77777777" w:rsidR="005E1E4A" w:rsidRPr="00391D92" w:rsidRDefault="005E1E4A" w:rsidP="005E1E4A">
      <w:pPr>
        <w:pStyle w:val="ListParagraph"/>
        <w:rPr>
          <w:rFonts w:eastAsia="Times New Roman" w:cs="Times New Roman"/>
          <w:szCs w:val="24"/>
        </w:rPr>
      </w:pPr>
    </w:p>
    <w:p w14:paraId="7E665CE5" w14:textId="77777777" w:rsidR="005E1E4A" w:rsidRPr="00B842DE" w:rsidRDefault="005E1E4A" w:rsidP="005E1E4A">
      <w:pPr>
        <w:pStyle w:val="ListParagraph"/>
        <w:numPr>
          <w:ilvl w:val="0"/>
          <w:numId w:val="38"/>
        </w:numPr>
        <w:tabs>
          <w:tab w:val="left" w:pos="1440"/>
        </w:tabs>
        <w:spacing w:after="0"/>
        <w:contextualSpacing/>
        <w:rPr>
          <w:rFonts w:eastAsia="Times New Roman" w:cs="Times New Roman"/>
          <w:szCs w:val="24"/>
        </w:rPr>
      </w:pPr>
      <w:r>
        <w:rPr>
          <w:rFonts w:eastAsia="Times New Roman" w:cs="Times New Roman"/>
          <w:szCs w:val="24"/>
        </w:rPr>
        <w:t>That a</w:t>
      </w:r>
      <w:r w:rsidRPr="00B842DE">
        <w:rPr>
          <w:rFonts w:eastAsia="Times New Roman" w:cs="Times New Roman"/>
          <w:szCs w:val="24"/>
        </w:rPr>
        <w:t>n Initial Decision will be issued in this proceeding forthwith.</w:t>
      </w:r>
    </w:p>
    <w:p w14:paraId="608AAF43" w14:textId="77777777" w:rsidR="008E74E4" w:rsidRDefault="008E74E4" w:rsidP="008E74E4">
      <w:pPr>
        <w:spacing w:after="0"/>
      </w:pPr>
    </w:p>
    <w:p w14:paraId="2D18C4A6" w14:textId="77777777" w:rsidR="000C2662" w:rsidRDefault="000C2662" w:rsidP="008E74E4">
      <w:pPr>
        <w:spacing w:after="0"/>
      </w:pPr>
    </w:p>
    <w:p w14:paraId="20E3C442" w14:textId="58B7F604" w:rsidR="008E74E4" w:rsidRPr="008E74E4" w:rsidRDefault="008E74E4" w:rsidP="008E74E4">
      <w:pPr>
        <w:spacing w:after="0" w:line="240" w:lineRule="auto"/>
        <w:rPr>
          <w:rFonts w:eastAsia="Times New Roman" w:cs="Times New Roman"/>
          <w:szCs w:val="24"/>
        </w:rPr>
      </w:pPr>
      <w:bookmarkStart w:id="0" w:name="_Hlk505862083"/>
      <w:r w:rsidRPr="00892556">
        <w:rPr>
          <w:rFonts w:eastAsia="Times New Roman" w:cs="Times New Roman"/>
          <w:szCs w:val="24"/>
        </w:rPr>
        <w:t>Date:</w:t>
      </w:r>
      <w:r w:rsidR="008A72D1" w:rsidRPr="00892556">
        <w:rPr>
          <w:rFonts w:eastAsia="Times New Roman" w:cs="Times New Roman"/>
          <w:szCs w:val="24"/>
          <w:u w:val="single"/>
        </w:rPr>
        <w:t xml:space="preserve"> </w:t>
      </w:r>
      <w:r w:rsidR="005E1E4A">
        <w:rPr>
          <w:rFonts w:eastAsia="Times New Roman" w:cs="Times New Roman"/>
          <w:szCs w:val="24"/>
          <w:u w:val="single"/>
        </w:rPr>
        <w:t xml:space="preserve">  March 5</w:t>
      </w:r>
      <w:r w:rsidR="00892556">
        <w:rPr>
          <w:rFonts w:eastAsia="Times New Roman" w:cs="Times New Roman"/>
          <w:szCs w:val="24"/>
          <w:u w:val="single"/>
        </w:rPr>
        <w:t>, 2024</w:t>
      </w:r>
      <w:r w:rsidR="00D157D2">
        <w:rPr>
          <w:rFonts w:eastAsia="Times New Roman" w:cs="Times New Roman"/>
          <w:szCs w:val="24"/>
          <w:u w:val="single"/>
        </w:rPr>
        <w:tab/>
      </w:r>
      <w:r w:rsidR="005E1E4A">
        <w:rPr>
          <w:rFonts w:eastAsia="Times New Roman" w:cs="Times New Roman"/>
          <w:szCs w:val="24"/>
          <w:u w:val="single"/>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u w:val="single"/>
        </w:rPr>
        <w:tab/>
      </w:r>
      <w:r w:rsidRPr="008E74E4">
        <w:rPr>
          <w:rFonts w:eastAsia="Times New Roman" w:cs="Times New Roman"/>
          <w:szCs w:val="24"/>
          <w:u w:val="single"/>
        </w:rPr>
        <w:tab/>
        <w:t>/s/</w:t>
      </w:r>
      <w:r w:rsidRPr="008E74E4">
        <w:rPr>
          <w:rFonts w:eastAsia="Times New Roman" w:cs="Times New Roman"/>
          <w:szCs w:val="24"/>
          <w:u w:val="single"/>
        </w:rPr>
        <w:tab/>
      </w:r>
      <w:r w:rsidRPr="008E74E4">
        <w:rPr>
          <w:rFonts w:eastAsia="Times New Roman" w:cs="Times New Roman"/>
          <w:szCs w:val="24"/>
          <w:u w:val="single"/>
        </w:rPr>
        <w:tab/>
      </w:r>
      <w:r w:rsidRPr="008E74E4">
        <w:rPr>
          <w:rFonts w:eastAsia="Times New Roman" w:cs="Times New Roman"/>
          <w:szCs w:val="24"/>
          <w:u w:val="single"/>
        </w:rPr>
        <w:tab/>
      </w:r>
      <w:r w:rsidRPr="008E74E4">
        <w:rPr>
          <w:rFonts w:eastAsia="Times New Roman" w:cs="Times New Roman"/>
          <w:szCs w:val="24"/>
          <w:u w:val="single"/>
        </w:rPr>
        <w:tab/>
      </w:r>
    </w:p>
    <w:p w14:paraId="2A3CD0C6" w14:textId="7ED9AEFB" w:rsidR="00792796" w:rsidRDefault="008E74E4" w:rsidP="001D0D07">
      <w:pPr>
        <w:spacing w:after="0" w:line="240" w:lineRule="auto"/>
        <w:rPr>
          <w:rFonts w:eastAsia="Times New Roman" w:cs="Times New Roman"/>
          <w:szCs w:val="24"/>
        </w:rPr>
      </w:pP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009F1C45">
        <w:rPr>
          <w:rFonts w:eastAsia="Times New Roman" w:cs="Times New Roman"/>
          <w:szCs w:val="24"/>
        </w:rPr>
        <w:t>Emily I. DeVoe</w:t>
      </w:r>
      <w:bookmarkEnd w:id="0"/>
    </w:p>
    <w:p w14:paraId="001ADA49" w14:textId="5D65F56A" w:rsidR="00536E23" w:rsidRDefault="00536E23" w:rsidP="001D0D07">
      <w:pPr>
        <w:spacing w:after="0" w:line="240" w:lineRule="auto"/>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Administrative Law Judge</w:t>
      </w:r>
    </w:p>
    <w:p w14:paraId="458CB7CD" w14:textId="77777777" w:rsidR="00892556" w:rsidRDefault="00892556">
      <w:pPr>
        <w:spacing w:after="0" w:line="240" w:lineRule="auto"/>
      </w:pPr>
    </w:p>
    <w:p w14:paraId="78DD3058" w14:textId="77777777" w:rsidR="00892556" w:rsidRDefault="00892556">
      <w:pPr>
        <w:spacing w:after="0" w:line="240" w:lineRule="auto"/>
      </w:pPr>
    </w:p>
    <w:p w14:paraId="4C69D08A" w14:textId="77777777" w:rsidR="00892556" w:rsidRDefault="00892556">
      <w:pPr>
        <w:spacing w:after="0" w:line="240" w:lineRule="auto"/>
        <w:sectPr w:rsidR="00892556" w:rsidSect="00DA54F4">
          <w:footerReference w:type="first" r:id="rId10"/>
          <w:type w:val="continuous"/>
          <w:pgSz w:w="12240" w:h="15840"/>
          <w:pgMar w:top="1440" w:right="1440" w:bottom="1440" w:left="1440" w:header="720" w:footer="720" w:gutter="0"/>
          <w:cols w:space="720"/>
          <w:titlePg/>
          <w:docGrid w:linePitch="360"/>
        </w:sectPr>
      </w:pPr>
    </w:p>
    <w:p w14:paraId="5A7B356D" w14:textId="77777777" w:rsidR="00874970" w:rsidRDefault="00874970" w:rsidP="0087497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C-2019-3009218 - ERIC KONZELMANN v. METROPOLITAN EDISON COMPANY</w:t>
      </w:r>
    </w:p>
    <w:p w14:paraId="43BD730F" w14:textId="77777777" w:rsidR="00874970" w:rsidRDefault="00874970" w:rsidP="00874970">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5F3E5D5" w14:textId="77777777" w:rsidR="00874970" w:rsidRDefault="00874970" w:rsidP="0087497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ERIC KONZELMANN</w:t>
      </w:r>
    </w:p>
    <w:p w14:paraId="08C4FEFD" w14:textId="77777777" w:rsidR="00874970" w:rsidRDefault="00874970" w:rsidP="0087497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357 BLACK MATT ROAD</w:t>
      </w:r>
    </w:p>
    <w:p w14:paraId="0876E4E3" w14:textId="77777777" w:rsidR="00874970" w:rsidRDefault="00874970" w:rsidP="0087497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DOUGLASSVILLE PA  19518</w:t>
      </w:r>
    </w:p>
    <w:p w14:paraId="04F46625" w14:textId="77777777" w:rsidR="00874970" w:rsidRDefault="00874970" w:rsidP="00874970">
      <w:pPr>
        <w:pStyle w:val="Normal1"/>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b/>
          <w:bCs/>
          <w:color w:val="000000"/>
        </w:rPr>
        <w:t>610.327.1578 </w:t>
      </w:r>
      <w:r>
        <w:rPr>
          <w:rFonts w:ascii="Microsoft Sans Serif" w:hAnsi="Microsoft Sans Serif" w:cs="Microsoft Sans Serif"/>
          <w:b/>
          <w:bCs/>
          <w:color w:val="000000"/>
        </w:rPr>
        <w:br/>
      </w:r>
      <w:hyperlink r:id="rId11" w:history="1">
        <w:r w:rsidRPr="00812867">
          <w:rPr>
            <w:rStyle w:val="Hyperlink"/>
            <w:rFonts w:ascii="Microsoft Sans Serif" w:hAnsi="Microsoft Sans Serif" w:cs="Microsoft Sans Serif"/>
          </w:rPr>
          <w:t>ekonzelmann@hotmail.com</w:t>
        </w:r>
      </w:hyperlink>
    </w:p>
    <w:p w14:paraId="54379C0D" w14:textId="35F5474C" w:rsidR="00874970" w:rsidRPr="00874970" w:rsidRDefault="00874970" w:rsidP="00874970">
      <w:pPr>
        <w:pStyle w:val="Normal1"/>
        <w:spacing w:before="0" w:beforeAutospacing="0" w:after="0" w:afterAutospacing="0" w:line="240" w:lineRule="atLeast"/>
        <w:rPr>
          <w:rFonts w:ascii="Calibri" w:hAnsi="Calibri" w:cs="Calibri"/>
          <w:i/>
          <w:iCs/>
          <w:color w:val="000000"/>
          <w:sz w:val="22"/>
          <w:szCs w:val="22"/>
        </w:rPr>
      </w:pPr>
      <w:r w:rsidRPr="00874970">
        <w:rPr>
          <w:rStyle w:val="normalchar"/>
          <w:rFonts w:ascii="Microsoft Sans Serif" w:hAnsi="Microsoft Sans Serif" w:cs="Microsoft Sans Serif"/>
          <w:i/>
          <w:iCs/>
          <w:color w:val="000000"/>
        </w:rPr>
        <w:t xml:space="preserve">Served via email and first class </w:t>
      </w:r>
      <w:proofErr w:type="gramStart"/>
      <w:r w:rsidRPr="00874970">
        <w:rPr>
          <w:rStyle w:val="normalchar"/>
          <w:rFonts w:ascii="Microsoft Sans Serif" w:hAnsi="Microsoft Sans Serif" w:cs="Microsoft Sans Serif"/>
          <w:i/>
          <w:iCs/>
          <w:color w:val="000000"/>
        </w:rPr>
        <w:t>mail</w:t>
      </w:r>
      <w:proofErr w:type="gramEnd"/>
      <w:r w:rsidRPr="00874970">
        <w:rPr>
          <w:rStyle w:val="normalchar"/>
          <w:rFonts w:ascii="Microsoft Sans Serif" w:hAnsi="Microsoft Sans Serif" w:cs="Microsoft Sans Serif"/>
          <w:i/>
          <w:iCs/>
          <w:color w:val="000000"/>
        </w:rPr>
        <w:t xml:space="preserve"> </w:t>
      </w:r>
    </w:p>
    <w:p w14:paraId="746A726A" w14:textId="77777777" w:rsidR="00874970" w:rsidRDefault="00874970" w:rsidP="00874970">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2B44897" w14:textId="77777777" w:rsidR="00874970" w:rsidRDefault="00874970" w:rsidP="0087497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LAUREN M LEPKOSKI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TORI L GIESLER ESQUIRE</w:t>
      </w:r>
    </w:p>
    <w:p w14:paraId="49519AE7" w14:textId="77777777" w:rsidR="00874970" w:rsidRDefault="00874970" w:rsidP="0087497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FIRSTENERGY SERVICES CO</w:t>
      </w:r>
    </w:p>
    <w:p w14:paraId="5AB065C9" w14:textId="77777777" w:rsidR="00874970" w:rsidRDefault="00874970" w:rsidP="0087497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2800 POTTSVILLE PIKE</w:t>
      </w:r>
    </w:p>
    <w:p w14:paraId="3C3DB001" w14:textId="77777777" w:rsidR="00874970" w:rsidRDefault="00874970" w:rsidP="0087497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 BOX 16001</w:t>
      </w:r>
    </w:p>
    <w:p w14:paraId="2595E3FE" w14:textId="77777777" w:rsidR="00874970" w:rsidRDefault="00874970" w:rsidP="0087497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READING PA  19612</w:t>
      </w:r>
    </w:p>
    <w:p w14:paraId="216AD73E" w14:textId="07380752" w:rsidR="00874970" w:rsidRDefault="00874970" w:rsidP="0087497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610.921.6203 </w:t>
      </w:r>
      <w:r>
        <w:rPr>
          <w:rFonts w:ascii="Microsoft Sans Serif" w:hAnsi="Microsoft Sans Serif" w:cs="Microsoft Sans Serif"/>
          <w:b/>
          <w:bCs/>
          <w:color w:val="000000"/>
        </w:rPr>
        <w:br/>
      </w:r>
      <w:r>
        <w:rPr>
          <w:rStyle w:val="normalchar"/>
          <w:rFonts w:ascii="Microsoft Sans Serif" w:hAnsi="Microsoft Sans Serif" w:cs="Microsoft Sans Serif"/>
          <w:b/>
          <w:bCs/>
          <w:color w:val="000000"/>
        </w:rPr>
        <w:t>610.921.6658 </w:t>
      </w:r>
      <w:r>
        <w:rPr>
          <w:rFonts w:ascii="Microsoft Sans Serif" w:hAnsi="Microsoft Sans Serif" w:cs="Microsoft Sans Serif"/>
          <w:b/>
          <w:bCs/>
          <w:color w:val="000000"/>
        </w:rPr>
        <w:br/>
      </w:r>
      <w:hyperlink r:id="rId12" w:history="1">
        <w:r w:rsidRPr="00812867">
          <w:rPr>
            <w:rStyle w:val="Hyperlink"/>
            <w:rFonts w:ascii="Arial" w:hAnsi="Arial" w:cs="Arial"/>
            <w:sz w:val="22"/>
          </w:rPr>
          <w:t>tgiesler@firstenergycorp.com</w:t>
        </w:r>
      </w:hyperlink>
      <w:r>
        <w:rPr>
          <w:rStyle w:val="normalchar"/>
          <w:rFonts w:ascii="Arial" w:hAnsi="Arial" w:cs="Arial"/>
          <w:color w:val="000000"/>
          <w:sz w:val="22"/>
        </w:rPr>
        <w:t xml:space="preserve"> </w:t>
      </w:r>
    </w:p>
    <w:p w14:paraId="1AD01F98" w14:textId="38F57EB9" w:rsidR="00874970" w:rsidRDefault="00DA54F4" w:rsidP="00874970">
      <w:pPr>
        <w:pStyle w:val="Normal1"/>
        <w:spacing w:before="0" w:beforeAutospacing="0" w:after="0" w:afterAutospacing="0" w:line="240" w:lineRule="atLeast"/>
        <w:rPr>
          <w:rFonts w:ascii="Calibri" w:hAnsi="Calibri" w:cs="Calibri"/>
          <w:color w:val="000000"/>
          <w:sz w:val="22"/>
          <w:szCs w:val="22"/>
        </w:rPr>
      </w:pPr>
      <w:hyperlink r:id="rId13" w:history="1">
        <w:r w:rsidR="00874970" w:rsidRPr="00812867">
          <w:rPr>
            <w:rStyle w:val="Hyperlink"/>
            <w:rFonts w:ascii="Arial" w:hAnsi="Arial" w:cs="Arial"/>
            <w:sz w:val="22"/>
          </w:rPr>
          <w:t>llepkoski@firstenergycorp.com</w:t>
        </w:r>
      </w:hyperlink>
      <w:r w:rsidR="00874970">
        <w:rPr>
          <w:rStyle w:val="normalchar"/>
          <w:rFonts w:ascii="Arial" w:hAnsi="Arial" w:cs="Arial"/>
          <w:color w:val="000000"/>
          <w:sz w:val="22"/>
        </w:rPr>
        <w:t xml:space="preserve"> </w:t>
      </w:r>
    </w:p>
    <w:p w14:paraId="025841A6" w14:textId="3D58DB4B" w:rsidR="00874970" w:rsidRPr="00B9686C" w:rsidRDefault="00874970" w:rsidP="00874970">
      <w:pPr>
        <w:pStyle w:val="Normal1"/>
        <w:spacing w:before="0" w:beforeAutospacing="0" w:after="0" w:afterAutospacing="0" w:line="240" w:lineRule="atLeast"/>
        <w:rPr>
          <w:rFonts w:ascii="Microsoft Sans Serif" w:hAnsi="Microsoft Sans Serif" w:cs="Microsoft Sans Serif"/>
          <w:color w:val="000000"/>
          <w:sz w:val="22"/>
          <w:szCs w:val="22"/>
        </w:rPr>
      </w:pPr>
      <w:r w:rsidRPr="00B9686C">
        <w:rPr>
          <w:rStyle w:val="normalchar"/>
          <w:rFonts w:ascii="Microsoft Sans Serif" w:hAnsi="Microsoft Sans Serif" w:cs="Microsoft Sans Serif"/>
          <w:color w:val="000000"/>
        </w:rPr>
        <w:t xml:space="preserve">Accepts </w:t>
      </w:r>
      <w:proofErr w:type="gramStart"/>
      <w:r w:rsidRPr="00B9686C">
        <w:rPr>
          <w:rStyle w:val="normalchar"/>
          <w:rFonts w:ascii="Microsoft Sans Serif" w:hAnsi="Microsoft Sans Serif" w:cs="Microsoft Sans Serif"/>
          <w:color w:val="000000"/>
        </w:rPr>
        <w:t>eService</w:t>
      </w:r>
      <w:proofErr w:type="gramEnd"/>
    </w:p>
    <w:p w14:paraId="07087B92" w14:textId="729871F6" w:rsidR="00874970" w:rsidRPr="00B9686C" w:rsidRDefault="00874970" w:rsidP="00874970">
      <w:pPr>
        <w:pStyle w:val="Normal1"/>
        <w:spacing w:before="0" w:beforeAutospacing="0" w:after="0" w:afterAutospacing="0" w:line="240" w:lineRule="atLeast"/>
        <w:rPr>
          <w:rFonts w:ascii="Microsoft Sans Serif" w:hAnsi="Microsoft Sans Serif" w:cs="Microsoft Sans Serif"/>
          <w:i/>
          <w:iCs/>
          <w:color w:val="000000"/>
          <w:sz w:val="22"/>
          <w:szCs w:val="22"/>
        </w:rPr>
      </w:pPr>
      <w:r w:rsidRPr="00B9686C">
        <w:rPr>
          <w:rStyle w:val="normalchar"/>
          <w:rFonts w:ascii="Microsoft Sans Serif" w:hAnsi="Microsoft Sans Serif" w:cs="Microsoft Sans Serif"/>
          <w:i/>
          <w:iCs/>
          <w:color w:val="000000"/>
          <w:sz w:val="22"/>
        </w:rPr>
        <w:t xml:space="preserve">(Counsel for </w:t>
      </w:r>
      <w:proofErr w:type="spellStart"/>
      <w:r w:rsidRPr="00B9686C">
        <w:rPr>
          <w:rStyle w:val="normalchar"/>
          <w:rFonts w:ascii="Microsoft Sans Serif" w:hAnsi="Microsoft Sans Serif" w:cs="Microsoft Sans Serif"/>
          <w:i/>
          <w:iCs/>
          <w:color w:val="000000"/>
          <w:sz w:val="22"/>
        </w:rPr>
        <w:t>MetEd</w:t>
      </w:r>
      <w:proofErr w:type="spellEnd"/>
      <w:r w:rsidRPr="00B9686C">
        <w:rPr>
          <w:rStyle w:val="normalchar"/>
          <w:rFonts w:ascii="Microsoft Sans Serif" w:hAnsi="Microsoft Sans Serif" w:cs="Microsoft Sans Serif"/>
          <w:i/>
          <w:iCs/>
          <w:color w:val="000000"/>
          <w:sz w:val="22"/>
        </w:rPr>
        <w:t>)</w:t>
      </w:r>
    </w:p>
    <w:p w14:paraId="58478FF0" w14:textId="7F9A9DA1" w:rsidR="00892556" w:rsidRDefault="00892556" w:rsidP="007C5B36">
      <w:pPr>
        <w:spacing w:after="0" w:line="278" w:lineRule="auto"/>
      </w:pPr>
    </w:p>
    <w:sectPr w:rsidR="00892556" w:rsidSect="00D7679F">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6454" w14:textId="77777777" w:rsidR="00D7679F" w:rsidRDefault="00D7679F" w:rsidP="001A75EB">
      <w:pPr>
        <w:spacing w:after="0" w:line="240" w:lineRule="auto"/>
      </w:pPr>
      <w:r>
        <w:separator/>
      </w:r>
    </w:p>
  </w:endnote>
  <w:endnote w:type="continuationSeparator" w:id="0">
    <w:p w14:paraId="15399B3A" w14:textId="77777777" w:rsidR="00D7679F" w:rsidRDefault="00D7679F" w:rsidP="001A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321170"/>
      <w:docPartObj>
        <w:docPartGallery w:val="Page Numbers (Bottom of Page)"/>
        <w:docPartUnique/>
      </w:docPartObj>
    </w:sdtPr>
    <w:sdtEndPr>
      <w:rPr>
        <w:noProof/>
        <w:sz w:val="20"/>
        <w:szCs w:val="20"/>
      </w:rPr>
    </w:sdtEndPr>
    <w:sdtContent>
      <w:p w14:paraId="624D5EAE" w14:textId="77777777" w:rsidR="00B80D66" w:rsidRDefault="00B80D66">
        <w:pPr>
          <w:pStyle w:val="Footer"/>
          <w:jc w:val="center"/>
        </w:pPr>
        <w:r w:rsidRPr="008E74E4">
          <w:rPr>
            <w:sz w:val="20"/>
            <w:szCs w:val="20"/>
          </w:rPr>
          <w:fldChar w:fldCharType="begin"/>
        </w:r>
        <w:r w:rsidRPr="008E74E4">
          <w:rPr>
            <w:sz w:val="20"/>
            <w:szCs w:val="20"/>
          </w:rPr>
          <w:instrText xml:space="preserve"> PAGE   \* MERGEFORMAT </w:instrText>
        </w:r>
        <w:r w:rsidRPr="008E74E4">
          <w:rPr>
            <w:sz w:val="20"/>
            <w:szCs w:val="20"/>
          </w:rPr>
          <w:fldChar w:fldCharType="separate"/>
        </w:r>
        <w:r w:rsidRPr="008E74E4">
          <w:rPr>
            <w:noProof/>
            <w:sz w:val="20"/>
            <w:szCs w:val="20"/>
          </w:rPr>
          <w:t>2</w:t>
        </w:r>
        <w:r w:rsidRPr="008E74E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E696" w14:textId="3D0F999B" w:rsidR="00892556" w:rsidRPr="00DA54F4" w:rsidRDefault="00DA54F4" w:rsidP="00DA54F4">
    <w:pPr>
      <w:pStyle w:val="Footer"/>
      <w:tabs>
        <w:tab w:val="left" w:pos="6855"/>
      </w:tabs>
      <w:rPr>
        <w:sz w:val="20"/>
        <w:szCs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725F" w14:textId="77777777" w:rsidR="00DA54F4" w:rsidRPr="00DA54F4" w:rsidRDefault="00DA54F4" w:rsidP="00DA54F4">
    <w:pPr>
      <w:pStyle w:val="Footer"/>
      <w:tabs>
        <w:tab w:val="left" w:pos="6855"/>
      </w:tabs>
      <w:rPr>
        <w:sz w:val="20"/>
        <w:szCs w:val="20"/>
      </w:rPr>
    </w:pPr>
    <w:r>
      <w:tab/>
    </w:r>
    <w:sdt>
      <w:sdtPr>
        <w:id w:val="837042801"/>
        <w:docPartObj>
          <w:docPartGallery w:val="Page Numbers (Bottom of Page)"/>
          <w:docPartUnique/>
        </w:docPartObj>
      </w:sdtPr>
      <w:sdtEndPr>
        <w:rPr>
          <w:noProof/>
          <w:sz w:val="20"/>
          <w:szCs w:val="20"/>
        </w:rPr>
      </w:sdtEndPr>
      <w:sdtContent>
        <w:r w:rsidRPr="00DA54F4">
          <w:rPr>
            <w:sz w:val="20"/>
            <w:szCs w:val="20"/>
          </w:rPr>
          <w:fldChar w:fldCharType="begin"/>
        </w:r>
        <w:r w:rsidRPr="00DA54F4">
          <w:rPr>
            <w:sz w:val="20"/>
            <w:szCs w:val="20"/>
          </w:rPr>
          <w:instrText xml:space="preserve"> PAGE   \* MERGEFORMAT </w:instrText>
        </w:r>
        <w:r w:rsidRPr="00DA54F4">
          <w:rPr>
            <w:sz w:val="20"/>
            <w:szCs w:val="20"/>
          </w:rPr>
          <w:fldChar w:fldCharType="separate"/>
        </w:r>
        <w:r w:rsidRPr="00DA54F4">
          <w:rPr>
            <w:noProof/>
            <w:sz w:val="20"/>
            <w:szCs w:val="20"/>
          </w:rPr>
          <w:t>2</w:t>
        </w:r>
        <w:r w:rsidRPr="00DA54F4">
          <w:rPr>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E89B" w14:textId="0F11EC1B" w:rsidR="00892556" w:rsidRDefault="00892556">
    <w:pPr>
      <w:pStyle w:val="Footer"/>
      <w:jc w:val="center"/>
    </w:pPr>
  </w:p>
  <w:p w14:paraId="54553FF9" w14:textId="77777777" w:rsidR="00892556" w:rsidRDefault="00892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8AC22" w14:textId="77777777" w:rsidR="00D7679F" w:rsidRDefault="00D7679F" w:rsidP="001A75EB">
      <w:pPr>
        <w:spacing w:after="0" w:line="240" w:lineRule="auto"/>
      </w:pPr>
      <w:r>
        <w:separator/>
      </w:r>
    </w:p>
  </w:footnote>
  <w:footnote w:type="continuationSeparator" w:id="0">
    <w:p w14:paraId="7C3A766F" w14:textId="77777777" w:rsidR="00D7679F" w:rsidRDefault="00D7679F" w:rsidP="001A7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FB6098A"/>
    <w:lvl w:ilvl="0">
      <w:start w:val="1"/>
      <w:numFmt w:val="decimal"/>
      <w:pStyle w:val="ListNumber"/>
      <w:lvlText w:val="%1."/>
      <w:lvlJc w:val="left"/>
      <w:pPr>
        <w:tabs>
          <w:tab w:val="num" w:pos="360"/>
        </w:tabs>
        <w:ind w:left="360" w:hanging="36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30573"/>
    <w:multiLevelType w:val="hybridMultilevel"/>
    <w:tmpl w:val="A0322A02"/>
    <w:lvl w:ilvl="0" w:tplc="DA7EAA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060047"/>
    <w:multiLevelType w:val="hybridMultilevel"/>
    <w:tmpl w:val="A732A9AE"/>
    <w:lvl w:ilvl="0" w:tplc="F4E0E3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FD63BC2"/>
    <w:multiLevelType w:val="hybridMultilevel"/>
    <w:tmpl w:val="3FAC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022392592">
    <w:abstractNumId w:val="31"/>
  </w:num>
  <w:num w:numId="2" w16cid:durableId="2054848477">
    <w:abstractNumId w:val="22"/>
  </w:num>
  <w:num w:numId="3" w16cid:durableId="1248273207">
    <w:abstractNumId w:val="29"/>
  </w:num>
  <w:num w:numId="4" w16cid:durableId="1331449792">
    <w:abstractNumId w:val="33"/>
  </w:num>
  <w:num w:numId="5" w16cid:durableId="1971781860">
    <w:abstractNumId w:val="13"/>
  </w:num>
  <w:num w:numId="6" w16cid:durableId="1473908890">
    <w:abstractNumId w:val="10"/>
  </w:num>
  <w:num w:numId="7" w16cid:durableId="878710546">
    <w:abstractNumId w:val="7"/>
  </w:num>
  <w:num w:numId="8" w16cid:durableId="829443783">
    <w:abstractNumId w:val="32"/>
  </w:num>
  <w:num w:numId="9" w16cid:durableId="1430933520">
    <w:abstractNumId w:val="3"/>
  </w:num>
  <w:num w:numId="10" w16cid:durableId="804153200">
    <w:abstractNumId w:val="24"/>
  </w:num>
  <w:num w:numId="11" w16cid:durableId="453447506">
    <w:abstractNumId w:val="28"/>
  </w:num>
  <w:num w:numId="12" w16cid:durableId="733620073">
    <w:abstractNumId w:val="18"/>
  </w:num>
  <w:num w:numId="13" w16cid:durableId="1912740170">
    <w:abstractNumId w:val="25"/>
  </w:num>
  <w:num w:numId="14" w16cid:durableId="910190403">
    <w:abstractNumId w:val="30"/>
  </w:num>
  <w:num w:numId="15" w16cid:durableId="1741974311">
    <w:abstractNumId w:val="1"/>
  </w:num>
  <w:num w:numId="16" w16cid:durableId="1705250685">
    <w:abstractNumId w:val="23"/>
  </w:num>
  <w:num w:numId="17" w16cid:durableId="557059578">
    <w:abstractNumId w:val="23"/>
  </w:num>
  <w:num w:numId="18" w16cid:durableId="1643458643">
    <w:abstractNumId w:val="12"/>
  </w:num>
  <w:num w:numId="19" w16cid:durableId="657539741">
    <w:abstractNumId w:val="19"/>
  </w:num>
  <w:num w:numId="20" w16cid:durableId="2066485287">
    <w:abstractNumId w:val="34"/>
  </w:num>
  <w:num w:numId="21" w16cid:durableId="2117406113">
    <w:abstractNumId w:val="16"/>
  </w:num>
  <w:num w:numId="22" w16cid:durableId="720322047">
    <w:abstractNumId w:val="6"/>
  </w:num>
  <w:num w:numId="23" w16cid:durableId="338847911">
    <w:abstractNumId w:val="17"/>
  </w:num>
  <w:num w:numId="24" w16cid:durableId="186606133">
    <w:abstractNumId w:val="37"/>
  </w:num>
  <w:num w:numId="25" w16cid:durableId="449934210">
    <w:abstractNumId w:val="2"/>
  </w:num>
  <w:num w:numId="26" w16cid:durableId="1460998701">
    <w:abstractNumId w:val="8"/>
  </w:num>
  <w:num w:numId="27" w16cid:durableId="949706839">
    <w:abstractNumId w:val="27"/>
  </w:num>
  <w:num w:numId="28" w16cid:durableId="1061758103">
    <w:abstractNumId w:val="15"/>
  </w:num>
  <w:num w:numId="29" w16cid:durableId="754667290">
    <w:abstractNumId w:val="11"/>
  </w:num>
  <w:num w:numId="30" w16cid:durableId="840465221">
    <w:abstractNumId w:val="21"/>
  </w:num>
  <w:num w:numId="31" w16cid:durableId="1748453229">
    <w:abstractNumId w:val="35"/>
  </w:num>
  <w:num w:numId="32" w16cid:durableId="538055886">
    <w:abstractNumId w:val="36"/>
  </w:num>
  <w:num w:numId="33" w16cid:durableId="1461144611">
    <w:abstractNumId w:val="26"/>
  </w:num>
  <w:num w:numId="34" w16cid:durableId="1797790109">
    <w:abstractNumId w:val="5"/>
  </w:num>
  <w:num w:numId="35" w16cid:durableId="1225483613">
    <w:abstractNumId w:val="20"/>
  </w:num>
  <w:num w:numId="36" w16cid:durableId="1344405610">
    <w:abstractNumId w:val="0"/>
  </w:num>
  <w:num w:numId="37" w16cid:durableId="777606503">
    <w:abstractNumId w:val="14"/>
  </w:num>
  <w:num w:numId="38" w16cid:durableId="1174685119">
    <w:abstractNumId w:val="9"/>
  </w:num>
  <w:num w:numId="39" w16cid:durableId="1350449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46EFEC-FEF4-47BA-BC39-378909FD53FC}"/>
    <w:docVar w:name="dgnword-eventsink" w:val="626330976"/>
  </w:docVars>
  <w:rsids>
    <w:rsidRoot w:val="004D0A01"/>
    <w:rsid w:val="00004C37"/>
    <w:rsid w:val="000066B3"/>
    <w:rsid w:val="00007EDE"/>
    <w:rsid w:val="000100E4"/>
    <w:rsid w:val="000155BF"/>
    <w:rsid w:val="0002522B"/>
    <w:rsid w:val="000502DE"/>
    <w:rsid w:val="000542FB"/>
    <w:rsid w:val="00056695"/>
    <w:rsid w:val="00066D87"/>
    <w:rsid w:val="00070E46"/>
    <w:rsid w:val="0007326B"/>
    <w:rsid w:val="00090D19"/>
    <w:rsid w:val="000B3648"/>
    <w:rsid w:val="000B5EBE"/>
    <w:rsid w:val="000C2662"/>
    <w:rsid w:val="000E04DA"/>
    <w:rsid w:val="000E2CB0"/>
    <w:rsid w:val="000E3EDE"/>
    <w:rsid w:val="00103332"/>
    <w:rsid w:val="001072C8"/>
    <w:rsid w:val="00107E82"/>
    <w:rsid w:val="001212FA"/>
    <w:rsid w:val="00142FCD"/>
    <w:rsid w:val="001450C4"/>
    <w:rsid w:val="00145806"/>
    <w:rsid w:val="0015445A"/>
    <w:rsid w:val="00156427"/>
    <w:rsid w:val="00166E49"/>
    <w:rsid w:val="00171EA5"/>
    <w:rsid w:val="00181EB1"/>
    <w:rsid w:val="00194953"/>
    <w:rsid w:val="00196042"/>
    <w:rsid w:val="001A21B6"/>
    <w:rsid w:val="001A75EB"/>
    <w:rsid w:val="001B1CBA"/>
    <w:rsid w:val="001C5D05"/>
    <w:rsid w:val="001D0D07"/>
    <w:rsid w:val="001D2AF7"/>
    <w:rsid w:val="001D44EB"/>
    <w:rsid w:val="001D7F71"/>
    <w:rsid w:val="001F03BF"/>
    <w:rsid w:val="002049B9"/>
    <w:rsid w:val="00207743"/>
    <w:rsid w:val="00213167"/>
    <w:rsid w:val="002239BA"/>
    <w:rsid w:val="00233D48"/>
    <w:rsid w:val="0024306C"/>
    <w:rsid w:val="00246488"/>
    <w:rsid w:val="002512F9"/>
    <w:rsid w:val="002613FA"/>
    <w:rsid w:val="00265C05"/>
    <w:rsid w:val="002713A5"/>
    <w:rsid w:val="00274E27"/>
    <w:rsid w:val="002762DB"/>
    <w:rsid w:val="002A0ACC"/>
    <w:rsid w:val="002A0FA8"/>
    <w:rsid w:val="002B7903"/>
    <w:rsid w:val="002C2DAF"/>
    <w:rsid w:val="002D48B6"/>
    <w:rsid w:val="00303355"/>
    <w:rsid w:val="003145FA"/>
    <w:rsid w:val="00316763"/>
    <w:rsid w:val="00336444"/>
    <w:rsid w:val="00351C7A"/>
    <w:rsid w:val="00353B52"/>
    <w:rsid w:val="00367A41"/>
    <w:rsid w:val="00375266"/>
    <w:rsid w:val="0038409A"/>
    <w:rsid w:val="00393932"/>
    <w:rsid w:val="00393C92"/>
    <w:rsid w:val="00393FB4"/>
    <w:rsid w:val="003A1A41"/>
    <w:rsid w:val="003A3E09"/>
    <w:rsid w:val="003D1601"/>
    <w:rsid w:val="003E3B16"/>
    <w:rsid w:val="00417566"/>
    <w:rsid w:val="00420273"/>
    <w:rsid w:val="00422157"/>
    <w:rsid w:val="004234BF"/>
    <w:rsid w:val="004251F0"/>
    <w:rsid w:val="0044200F"/>
    <w:rsid w:val="00454386"/>
    <w:rsid w:val="004802BB"/>
    <w:rsid w:val="00495038"/>
    <w:rsid w:val="004A28FC"/>
    <w:rsid w:val="004B29BE"/>
    <w:rsid w:val="004C325B"/>
    <w:rsid w:val="004C4A63"/>
    <w:rsid w:val="004D0A01"/>
    <w:rsid w:val="004D3692"/>
    <w:rsid w:val="004D523C"/>
    <w:rsid w:val="004E07B1"/>
    <w:rsid w:val="0050148A"/>
    <w:rsid w:val="0051016D"/>
    <w:rsid w:val="00515866"/>
    <w:rsid w:val="00533ECC"/>
    <w:rsid w:val="0053640E"/>
    <w:rsid w:val="00536E23"/>
    <w:rsid w:val="00565EF5"/>
    <w:rsid w:val="005671FD"/>
    <w:rsid w:val="00576770"/>
    <w:rsid w:val="00585DD1"/>
    <w:rsid w:val="005910BD"/>
    <w:rsid w:val="005941AC"/>
    <w:rsid w:val="005962E6"/>
    <w:rsid w:val="005A1C17"/>
    <w:rsid w:val="005A2ABA"/>
    <w:rsid w:val="005A78EE"/>
    <w:rsid w:val="005B1D7D"/>
    <w:rsid w:val="005B7FB5"/>
    <w:rsid w:val="005C5435"/>
    <w:rsid w:val="005D180A"/>
    <w:rsid w:val="005E1DE6"/>
    <w:rsid w:val="005E1E4A"/>
    <w:rsid w:val="005E7B69"/>
    <w:rsid w:val="005F69DF"/>
    <w:rsid w:val="0060486F"/>
    <w:rsid w:val="006108F3"/>
    <w:rsid w:val="0061356F"/>
    <w:rsid w:val="0061421A"/>
    <w:rsid w:val="00615D7F"/>
    <w:rsid w:val="0061775F"/>
    <w:rsid w:val="006257F4"/>
    <w:rsid w:val="00631EEF"/>
    <w:rsid w:val="00650B3E"/>
    <w:rsid w:val="006520FA"/>
    <w:rsid w:val="00684D2D"/>
    <w:rsid w:val="00685A74"/>
    <w:rsid w:val="00696C0D"/>
    <w:rsid w:val="006A755C"/>
    <w:rsid w:val="006B46B3"/>
    <w:rsid w:val="006C145A"/>
    <w:rsid w:val="006C1F07"/>
    <w:rsid w:val="006C6A0D"/>
    <w:rsid w:val="006C7087"/>
    <w:rsid w:val="006D16F6"/>
    <w:rsid w:val="006E4269"/>
    <w:rsid w:val="006F0329"/>
    <w:rsid w:val="006F2A79"/>
    <w:rsid w:val="00700807"/>
    <w:rsid w:val="00712E58"/>
    <w:rsid w:val="00724628"/>
    <w:rsid w:val="007407AC"/>
    <w:rsid w:val="00752718"/>
    <w:rsid w:val="00755D72"/>
    <w:rsid w:val="0076039B"/>
    <w:rsid w:val="007647A8"/>
    <w:rsid w:val="0078140A"/>
    <w:rsid w:val="00790FA6"/>
    <w:rsid w:val="00792796"/>
    <w:rsid w:val="007930DD"/>
    <w:rsid w:val="00796B64"/>
    <w:rsid w:val="007A4AB1"/>
    <w:rsid w:val="007C5B36"/>
    <w:rsid w:val="007D277E"/>
    <w:rsid w:val="007E6779"/>
    <w:rsid w:val="008017C5"/>
    <w:rsid w:val="00810B35"/>
    <w:rsid w:val="0081451C"/>
    <w:rsid w:val="00820B4C"/>
    <w:rsid w:val="0083239D"/>
    <w:rsid w:val="008529D2"/>
    <w:rsid w:val="008550C6"/>
    <w:rsid w:val="00865BC6"/>
    <w:rsid w:val="00872B89"/>
    <w:rsid w:val="00874970"/>
    <w:rsid w:val="0088105E"/>
    <w:rsid w:val="00892556"/>
    <w:rsid w:val="00895C09"/>
    <w:rsid w:val="008A3F73"/>
    <w:rsid w:val="008A72D1"/>
    <w:rsid w:val="008B3A12"/>
    <w:rsid w:val="008E74E4"/>
    <w:rsid w:val="008F1262"/>
    <w:rsid w:val="008F37A4"/>
    <w:rsid w:val="00912BA7"/>
    <w:rsid w:val="00917DCA"/>
    <w:rsid w:val="0095354F"/>
    <w:rsid w:val="009561E3"/>
    <w:rsid w:val="0097262B"/>
    <w:rsid w:val="009778BE"/>
    <w:rsid w:val="00977A46"/>
    <w:rsid w:val="00993D07"/>
    <w:rsid w:val="00995C1D"/>
    <w:rsid w:val="009A6095"/>
    <w:rsid w:val="009B46CB"/>
    <w:rsid w:val="009B6F70"/>
    <w:rsid w:val="009C70A4"/>
    <w:rsid w:val="009C7818"/>
    <w:rsid w:val="009D7A69"/>
    <w:rsid w:val="009E3D40"/>
    <w:rsid w:val="009F1C45"/>
    <w:rsid w:val="009F6440"/>
    <w:rsid w:val="00A177F4"/>
    <w:rsid w:val="00A2582C"/>
    <w:rsid w:val="00A270C1"/>
    <w:rsid w:val="00A3069D"/>
    <w:rsid w:val="00A352BB"/>
    <w:rsid w:val="00A434E5"/>
    <w:rsid w:val="00A43FBB"/>
    <w:rsid w:val="00A47096"/>
    <w:rsid w:val="00A52F93"/>
    <w:rsid w:val="00A634A4"/>
    <w:rsid w:val="00A712D5"/>
    <w:rsid w:val="00A76CBF"/>
    <w:rsid w:val="00A9271F"/>
    <w:rsid w:val="00A935A9"/>
    <w:rsid w:val="00AA2EC5"/>
    <w:rsid w:val="00AA51C6"/>
    <w:rsid w:val="00AB24BE"/>
    <w:rsid w:val="00AB4C73"/>
    <w:rsid w:val="00AC45A0"/>
    <w:rsid w:val="00AC768B"/>
    <w:rsid w:val="00AD27C0"/>
    <w:rsid w:val="00AD5339"/>
    <w:rsid w:val="00AD58CC"/>
    <w:rsid w:val="00AE1CE4"/>
    <w:rsid w:val="00AE3BF0"/>
    <w:rsid w:val="00AE429C"/>
    <w:rsid w:val="00AE6F47"/>
    <w:rsid w:val="00B113FA"/>
    <w:rsid w:val="00B13F88"/>
    <w:rsid w:val="00B17E15"/>
    <w:rsid w:val="00B4185D"/>
    <w:rsid w:val="00B47029"/>
    <w:rsid w:val="00B54074"/>
    <w:rsid w:val="00B57F39"/>
    <w:rsid w:val="00B656E3"/>
    <w:rsid w:val="00B80D66"/>
    <w:rsid w:val="00B85F1F"/>
    <w:rsid w:val="00B91E47"/>
    <w:rsid w:val="00B93E1D"/>
    <w:rsid w:val="00B9686C"/>
    <w:rsid w:val="00BA56B2"/>
    <w:rsid w:val="00BB43CF"/>
    <w:rsid w:val="00BC6B21"/>
    <w:rsid w:val="00BD0F29"/>
    <w:rsid w:val="00BE00ED"/>
    <w:rsid w:val="00BE0FC0"/>
    <w:rsid w:val="00BE6CC4"/>
    <w:rsid w:val="00BF0B9D"/>
    <w:rsid w:val="00C043BF"/>
    <w:rsid w:val="00C11B13"/>
    <w:rsid w:val="00C41E10"/>
    <w:rsid w:val="00C45445"/>
    <w:rsid w:val="00C516EF"/>
    <w:rsid w:val="00C52A6C"/>
    <w:rsid w:val="00C52B4B"/>
    <w:rsid w:val="00C56F86"/>
    <w:rsid w:val="00C6051C"/>
    <w:rsid w:val="00C8432A"/>
    <w:rsid w:val="00C87E57"/>
    <w:rsid w:val="00CB0244"/>
    <w:rsid w:val="00CC29F1"/>
    <w:rsid w:val="00CC76B5"/>
    <w:rsid w:val="00CD1480"/>
    <w:rsid w:val="00CD5EE5"/>
    <w:rsid w:val="00CE5EDF"/>
    <w:rsid w:val="00CF6143"/>
    <w:rsid w:val="00D00D31"/>
    <w:rsid w:val="00D03CB0"/>
    <w:rsid w:val="00D100FC"/>
    <w:rsid w:val="00D11E64"/>
    <w:rsid w:val="00D12832"/>
    <w:rsid w:val="00D150C0"/>
    <w:rsid w:val="00D157D2"/>
    <w:rsid w:val="00D165D8"/>
    <w:rsid w:val="00D25056"/>
    <w:rsid w:val="00D25617"/>
    <w:rsid w:val="00D27061"/>
    <w:rsid w:val="00D368F5"/>
    <w:rsid w:val="00D4446A"/>
    <w:rsid w:val="00D653DE"/>
    <w:rsid w:val="00D7679F"/>
    <w:rsid w:val="00D80135"/>
    <w:rsid w:val="00D87FFE"/>
    <w:rsid w:val="00D90DAB"/>
    <w:rsid w:val="00D928D0"/>
    <w:rsid w:val="00D97F80"/>
    <w:rsid w:val="00DA54F4"/>
    <w:rsid w:val="00DB6C37"/>
    <w:rsid w:val="00DC5C92"/>
    <w:rsid w:val="00DD4ED1"/>
    <w:rsid w:val="00DD5C37"/>
    <w:rsid w:val="00DE3879"/>
    <w:rsid w:val="00DF1038"/>
    <w:rsid w:val="00DF35D9"/>
    <w:rsid w:val="00DF7DC3"/>
    <w:rsid w:val="00E25E6E"/>
    <w:rsid w:val="00E32DC1"/>
    <w:rsid w:val="00E4239A"/>
    <w:rsid w:val="00E44C2E"/>
    <w:rsid w:val="00E524AE"/>
    <w:rsid w:val="00E63165"/>
    <w:rsid w:val="00E82603"/>
    <w:rsid w:val="00EA42B0"/>
    <w:rsid w:val="00EB027A"/>
    <w:rsid w:val="00EB6A87"/>
    <w:rsid w:val="00EC1CBA"/>
    <w:rsid w:val="00EC6CBF"/>
    <w:rsid w:val="00EE7801"/>
    <w:rsid w:val="00EF257F"/>
    <w:rsid w:val="00EF345E"/>
    <w:rsid w:val="00EF46C2"/>
    <w:rsid w:val="00F06634"/>
    <w:rsid w:val="00F11A19"/>
    <w:rsid w:val="00F13AE2"/>
    <w:rsid w:val="00F16554"/>
    <w:rsid w:val="00F226BC"/>
    <w:rsid w:val="00F544E1"/>
    <w:rsid w:val="00F74453"/>
    <w:rsid w:val="00F77007"/>
    <w:rsid w:val="00F8775F"/>
    <w:rsid w:val="00FA0EF3"/>
    <w:rsid w:val="00FA4E98"/>
    <w:rsid w:val="00FB136E"/>
    <w:rsid w:val="00FB42A3"/>
    <w:rsid w:val="00FB7B2E"/>
    <w:rsid w:val="00FB7EF7"/>
    <w:rsid w:val="00FD5C10"/>
    <w:rsid w:val="00FF0701"/>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6B504"/>
  <w15:chartTrackingRefBased/>
  <w15:docId w15:val="{76B1F042-8D7F-4D1A-9927-4668EEF0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5EB"/>
    <w:pPr>
      <w:spacing w:after="20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D27C0"/>
    <w:pPr>
      <w:ind w:firstLine="720"/>
    </w:pPr>
  </w:style>
  <w:style w:type="paragraph" w:styleId="FootnoteText">
    <w:name w:val="footnote text"/>
    <w:aliases w:val="Car"/>
    <w:basedOn w:val="Normal"/>
    <w:link w:val="FootnoteTextChar"/>
    <w:qFormat/>
    <w:rsid w:val="001212FA"/>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1212FA"/>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1A75EB"/>
    <w:rPr>
      <w:vertAlign w:val="superscript"/>
    </w:rPr>
  </w:style>
  <w:style w:type="paragraph" w:styleId="Header">
    <w:name w:val="header"/>
    <w:basedOn w:val="Normal"/>
    <w:link w:val="HeaderChar"/>
    <w:uiPriority w:val="99"/>
    <w:unhideWhenUsed/>
    <w:rsid w:val="00B8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D66"/>
    <w:rPr>
      <w:rFonts w:cstheme="minorBidi"/>
      <w:szCs w:val="22"/>
    </w:rPr>
  </w:style>
  <w:style w:type="paragraph" w:styleId="Footer">
    <w:name w:val="footer"/>
    <w:basedOn w:val="Normal"/>
    <w:link w:val="FooterChar"/>
    <w:uiPriority w:val="99"/>
    <w:unhideWhenUsed/>
    <w:rsid w:val="00B8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D66"/>
    <w:rPr>
      <w:rFonts w:cstheme="minorBidi"/>
      <w:szCs w:val="22"/>
    </w:rPr>
  </w:style>
  <w:style w:type="paragraph" w:styleId="ListNumber">
    <w:name w:val="List Number"/>
    <w:basedOn w:val="Normal"/>
    <w:uiPriority w:val="99"/>
    <w:unhideWhenUsed/>
    <w:rsid w:val="00171EA5"/>
    <w:pPr>
      <w:numPr>
        <w:numId w:val="36"/>
      </w:numPr>
      <w:contextualSpacing/>
    </w:pPr>
  </w:style>
  <w:style w:type="paragraph" w:customStyle="1" w:styleId="Normal1">
    <w:name w:val="Normal1"/>
    <w:basedOn w:val="Normal"/>
    <w:rsid w:val="00874970"/>
    <w:pPr>
      <w:spacing w:before="100" w:beforeAutospacing="1" w:after="100" w:afterAutospacing="1" w:line="240" w:lineRule="auto"/>
    </w:pPr>
    <w:rPr>
      <w:rFonts w:eastAsia="Times New Roman" w:cs="Times New Roman"/>
      <w:szCs w:val="24"/>
    </w:rPr>
  </w:style>
  <w:style w:type="character" w:customStyle="1" w:styleId="normalchar">
    <w:name w:val="normal__char"/>
    <w:basedOn w:val="DefaultParagraphFont"/>
    <w:rsid w:val="00874970"/>
  </w:style>
  <w:style w:type="character" w:styleId="Hyperlink">
    <w:name w:val="Hyperlink"/>
    <w:basedOn w:val="DefaultParagraphFont"/>
    <w:uiPriority w:val="99"/>
    <w:unhideWhenUsed/>
    <w:rsid w:val="00874970"/>
    <w:rPr>
      <w:color w:val="0000FF" w:themeColor="hyperlink"/>
      <w:u w:val="single"/>
    </w:rPr>
  </w:style>
  <w:style w:type="character" w:styleId="UnresolvedMention">
    <w:name w:val="Unresolved Mention"/>
    <w:basedOn w:val="DefaultParagraphFont"/>
    <w:uiPriority w:val="99"/>
    <w:semiHidden/>
    <w:unhideWhenUsed/>
    <w:rsid w:val="00874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lepkoski@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iesler@firstenergy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zelmann@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A4F15-AE9D-4B8B-90C5-E92AA80A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1455</Words>
  <Characters>8297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Williams, Bobbie Jo</cp:lastModifiedBy>
  <cp:revision>2</cp:revision>
  <cp:lastPrinted>2019-10-25T15:36:00Z</cp:lastPrinted>
  <dcterms:created xsi:type="dcterms:W3CDTF">2024-03-08T19:47:00Z</dcterms:created>
  <dcterms:modified xsi:type="dcterms:W3CDTF">2024-03-08T19:47:00Z</dcterms:modified>
</cp:coreProperties>
</file>