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D537" w14:textId="77777777" w:rsidR="00E1405B" w:rsidRDefault="00E1405B" w:rsidP="00E1405B">
      <w:pPr>
        <w:tabs>
          <w:tab w:val="center" w:pos="4680"/>
        </w:tabs>
        <w:jc w:val="center"/>
        <w:rPr>
          <w:b/>
        </w:rPr>
      </w:pPr>
      <w:r>
        <w:rPr>
          <w:b/>
        </w:rPr>
        <w:t>BEFORE THE</w:t>
      </w:r>
    </w:p>
    <w:p w14:paraId="1E3876F3" w14:textId="77777777" w:rsidR="00E1405B" w:rsidRDefault="00E1405B" w:rsidP="00E1405B">
      <w:pPr>
        <w:tabs>
          <w:tab w:val="center" w:pos="4680"/>
        </w:tabs>
        <w:jc w:val="both"/>
        <w:rPr>
          <w:b/>
        </w:rPr>
      </w:pPr>
      <w:r>
        <w:rPr>
          <w:b/>
        </w:rPr>
        <w:tab/>
        <w:t>PENNSYLVANIA PUBLIC UTILITY COMMISSION</w:t>
      </w:r>
    </w:p>
    <w:p w14:paraId="5C0C5E21" w14:textId="77777777" w:rsidR="00064049" w:rsidRDefault="00064049" w:rsidP="00E1405B">
      <w:pPr>
        <w:tabs>
          <w:tab w:val="center" w:pos="4680"/>
        </w:tabs>
        <w:jc w:val="both"/>
        <w:rPr>
          <w:b/>
        </w:rPr>
      </w:pPr>
    </w:p>
    <w:p w14:paraId="069412D6" w14:textId="77777777" w:rsidR="008F3F5E" w:rsidRPr="00C2549E" w:rsidRDefault="008F3F5E" w:rsidP="008F3F5E">
      <w:pPr>
        <w:tabs>
          <w:tab w:val="left" w:pos="-720"/>
        </w:tabs>
        <w:suppressAutoHyphens/>
      </w:pPr>
    </w:p>
    <w:p w14:paraId="06774035" w14:textId="77777777" w:rsidR="006A6427" w:rsidRPr="00C2549E" w:rsidRDefault="006A6427" w:rsidP="006A6427">
      <w:pPr>
        <w:tabs>
          <w:tab w:val="left" w:pos="-720"/>
        </w:tabs>
        <w:suppressAutoHyphens/>
      </w:pPr>
    </w:p>
    <w:p w14:paraId="27E6E542" w14:textId="77777777" w:rsidR="006A6427" w:rsidRDefault="006A6427" w:rsidP="006A6427">
      <w:r>
        <w:t xml:space="preserve">Application of Pennsylvania-American Water </w:t>
      </w:r>
      <w:r>
        <w:tab/>
        <w:t>:</w:t>
      </w:r>
      <w:r>
        <w:tab/>
      </w:r>
      <w:r>
        <w:tab/>
        <w:t>A-2023-3042567</w:t>
      </w:r>
    </w:p>
    <w:p w14:paraId="5FF5CAB3" w14:textId="77777777" w:rsidR="006A6427" w:rsidRDefault="006A6427" w:rsidP="006A6427">
      <w:r>
        <w:t xml:space="preserve">Company for approval of the transfer, by sale, of </w:t>
      </w:r>
      <w:r>
        <w:tab/>
        <w:t>:</w:t>
      </w:r>
      <w:r>
        <w:tab/>
      </w:r>
      <w:r>
        <w:tab/>
        <w:t>A-2023-3042587</w:t>
      </w:r>
    </w:p>
    <w:p w14:paraId="736E17EE" w14:textId="77777777" w:rsidR="006A6427" w:rsidRDefault="006A6427" w:rsidP="006A6427">
      <w:r>
        <w:t xml:space="preserve">substantially </w:t>
      </w:r>
      <w:proofErr w:type="gramStart"/>
      <w:r>
        <w:t>all of</w:t>
      </w:r>
      <w:proofErr w:type="gramEnd"/>
      <w:r>
        <w:t xml:space="preserve"> the Township of Farmington’s </w:t>
      </w:r>
      <w:r>
        <w:tab/>
        <w:t>:</w:t>
      </w:r>
    </w:p>
    <w:p w14:paraId="6198FCAC" w14:textId="77777777" w:rsidR="006A6427" w:rsidRDefault="006A6427" w:rsidP="006A6427">
      <w:r>
        <w:t xml:space="preserve">assets, properties, and rights related to its water </w:t>
      </w:r>
      <w:r>
        <w:tab/>
        <w:t>:</w:t>
      </w:r>
    </w:p>
    <w:p w14:paraId="45222C06" w14:textId="77777777" w:rsidR="006A6427" w:rsidRDefault="006A6427" w:rsidP="006A6427">
      <w:r>
        <w:t xml:space="preserve">system and the right of Pennsylvania-American </w:t>
      </w:r>
      <w:r>
        <w:tab/>
        <w:t>:</w:t>
      </w:r>
    </w:p>
    <w:p w14:paraId="4AFFBE57" w14:textId="77777777" w:rsidR="006A6427" w:rsidRDefault="006A6427" w:rsidP="006A6427">
      <w:r>
        <w:t xml:space="preserve">Water Company to begin to offer, render, furnish </w:t>
      </w:r>
      <w:r>
        <w:tab/>
        <w:t>:</w:t>
      </w:r>
    </w:p>
    <w:p w14:paraId="5035F97A" w14:textId="77777777" w:rsidR="006A6427" w:rsidRDefault="006A6427" w:rsidP="006A6427">
      <w:r>
        <w:t xml:space="preserve">and supply water service to the public in an </w:t>
      </w:r>
      <w:r>
        <w:tab/>
      </w:r>
      <w:r>
        <w:tab/>
        <w:t>:</w:t>
      </w:r>
    </w:p>
    <w:p w14:paraId="41B0B069" w14:textId="77777777" w:rsidR="006A6427" w:rsidRDefault="006A6427" w:rsidP="006A6427">
      <w:r>
        <w:t xml:space="preserve">additional portion of Farmington Township, </w:t>
      </w:r>
      <w:r>
        <w:tab/>
      </w:r>
      <w:r>
        <w:tab/>
        <w:t>:</w:t>
      </w:r>
    </w:p>
    <w:p w14:paraId="326C85FC" w14:textId="77777777" w:rsidR="006A6427" w:rsidRDefault="006A6427" w:rsidP="006A6427">
      <w:r>
        <w:t>Clarion County, Pennsylvania</w:t>
      </w:r>
      <w:r w:rsidRPr="00A86037">
        <w:t>.</w:t>
      </w:r>
      <w:r>
        <w:tab/>
      </w:r>
      <w:r>
        <w:tab/>
      </w:r>
      <w:r>
        <w:tab/>
        <w:t>:</w:t>
      </w:r>
      <w:r>
        <w:tab/>
      </w:r>
      <w:r>
        <w:tab/>
      </w:r>
      <w:r>
        <w:tab/>
      </w:r>
    </w:p>
    <w:p w14:paraId="0F22C975" w14:textId="5D91272E" w:rsidR="008F3F5E" w:rsidRDefault="008F3F5E" w:rsidP="008F3F5E"/>
    <w:p w14:paraId="449738AA" w14:textId="19A9335F" w:rsidR="008F3F5E" w:rsidRPr="00C3290A" w:rsidRDefault="008F3F5E" w:rsidP="008F3F5E"/>
    <w:p w14:paraId="1226BEC6" w14:textId="77777777" w:rsidR="00D209C1" w:rsidRDefault="00D209C1" w:rsidP="00C04FA0">
      <w:pPr>
        <w:pStyle w:val="Heading1"/>
        <w:jc w:val="left"/>
        <w:rPr>
          <w:szCs w:val="24"/>
        </w:rPr>
      </w:pPr>
    </w:p>
    <w:p w14:paraId="7371633B" w14:textId="487CF916" w:rsidR="00D209C1" w:rsidRDefault="00D209C1" w:rsidP="00D209C1">
      <w:pPr>
        <w:pStyle w:val="NoSpacing"/>
        <w:jc w:val="center"/>
        <w:rPr>
          <w:b/>
          <w:szCs w:val="24"/>
          <w:u w:val="single"/>
        </w:rPr>
      </w:pPr>
      <w:r>
        <w:rPr>
          <w:b/>
          <w:szCs w:val="24"/>
          <w:u w:val="single"/>
        </w:rPr>
        <w:t>PREHEARING ORDER</w:t>
      </w:r>
    </w:p>
    <w:p w14:paraId="6458F4C6" w14:textId="77777777" w:rsidR="00D209C1" w:rsidRDefault="00D209C1" w:rsidP="00C04FA0">
      <w:pPr>
        <w:pStyle w:val="NoSpacing"/>
        <w:spacing w:line="360" w:lineRule="auto"/>
        <w:rPr>
          <w:szCs w:val="24"/>
        </w:rPr>
      </w:pPr>
    </w:p>
    <w:p w14:paraId="43B3409F" w14:textId="6FB2A439" w:rsidR="00D209C1" w:rsidRDefault="00D209C1" w:rsidP="00EF53D4">
      <w:pPr>
        <w:spacing w:line="360" w:lineRule="auto"/>
        <w:jc w:val="center"/>
        <w:rPr>
          <w:caps/>
          <w:szCs w:val="24"/>
          <w:u w:val="single"/>
        </w:rPr>
      </w:pPr>
      <w:r>
        <w:rPr>
          <w:caps/>
          <w:szCs w:val="24"/>
          <w:u w:val="single"/>
        </w:rPr>
        <w:t>History</w:t>
      </w:r>
    </w:p>
    <w:p w14:paraId="335315B2" w14:textId="77777777" w:rsidR="00EF53D4" w:rsidRDefault="00EF53D4" w:rsidP="00C04FA0">
      <w:pPr>
        <w:spacing w:line="360" w:lineRule="auto"/>
        <w:rPr>
          <w:caps/>
          <w:szCs w:val="24"/>
          <w:u w:val="single"/>
        </w:rPr>
      </w:pPr>
    </w:p>
    <w:p w14:paraId="60CC1F4F" w14:textId="7EF8D668" w:rsidR="00066BF9" w:rsidRDefault="00066BF9" w:rsidP="00066BF9">
      <w:pPr>
        <w:pStyle w:val="ListParagraph"/>
        <w:spacing w:line="360" w:lineRule="auto"/>
        <w:ind w:left="0" w:firstLine="1440"/>
        <w:rPr>
          <w:szCs w:val="24"/>
        </w:rPr>
      </w:pPr>
      <w:r>
        <w:rPr>
          <w:szCs w:val="24"/>
        </w:rPr>
        <w:t xml:space="preserve">On </w:t>
      </w:r>
      <w:r w:rsidR="009751DE">
        <w:rPr>
          <w:szCs w:val="24"/>
        </w:rPr>
        <w:t>August 28, 2023</w:t>
      </w:r>
      <w:r w:rsidRPr="00BA1F22">
        <w:rPr>
          <w:szCs w:val="24"/>
        </w:rPr>
        <w:t xml:space="preserve">, </w:t>
      </w:r>
      <w:r>
        <w:rPr>
          <w:szCs w:val="24"/>
        </w:rPr>
        <w:t>Pennsylvania-American Water Company (PAWC)</w:t>
      </w:r>
      <w:r w:rsidRPr="00BA1F22">
        <w:rPr>
          <w:szCs w:val="24"/>
        </w:rPr>
        <w:t xml:space="preserve"> filed a</w:t>
      </w:r>
      <w:r w:rsidR="009751DE">
        <w:rPr>
          <w:szCs w:val="24"/>
        </w:rPr>
        <w:t>n</w:t>
      </w:r>
      <w:r w:rsidRPr="00BA1F22">
        <w:rPr>
          <w:szCs w:val="24"/>
        </w:rPr>
        <w:t xml:space="preserve"> application (Application) at Docket Nos. A-2023-</w:t>
      </w:r>
      <w:r>
        <w:rPr>
          <w:szCs w:val="24"/>
        </w:rPr>
        <w:t xml:space="preserve">3043194 and A-2023-3043196 </w:t>
      </w:r>
      <w:r w:rsidRPr="00BA1F22">
        <w:rPr>
          <w:szCs w:val="24"/>
        </w:rPr>
        <w:t>asking the Commission to approve</w:t>
      </w:r>
      <w:r>
        <w:rPr>
          <w:szCs w:val="24"/>
        </w:rPr>
        <w:t xml:space="preserve"> </w:t>
      </w:r>
      <w:r w:rsidR="009751DE">
        <w:rPr>
          <w:szCs w:val="24"/>
        </w:rPr>
        <w:t>PAWC’s acquisition of all the assets, properties and rights to the drinking water distribution system and the wastewater collection and treatment systems (the Systems, collectively) of the Township of Farmington (Farmington</w:t>
      </w:r>
      <w:r w:rsidR="00FB578A">
        <w:rPr>
          <w:szCs w:val="24"/>
        </w:rPr>
        <w:t xml:space="preserve"> or Township</w:t>
      </w:r>
      <w:r w:rsidR="009751DE">
        <w:rPr>
          <w:szCs w:val="24"/>
        </w:rPr>
        <w:t>), pursuant to Sections 507 and 11</w:t>
      </w:r>
      <w:r w:rsidRPr="00306826">
        <w:rPr>
          <w:szCs w:val="24"/>
        </w:rPr>
        <w:t>02(a) of the Public Utility Code, 66 Pa C.S. §</w:t>
      </w:r>
      <w:r w:rsidR="009751DE">
        <w:rPr>
          <w:szCs w:val="24"/>
        </w:rPr>
        <w:t>§ 507 and</w:t>
      </w:r>
      <w:r w:rsidRPr="00306826">
        <w:rPr>
          <w:szCs w:val="24"/>
        </w:rPr>
        <w:t xml:space="preserve"> 1102(a).  </w:t>
      </w:r>
      <w:r w:rsidRPr="00C76F4F">
        <w:rPr>
          <w:szCs w:val="24"/>
        </w:rPr>
        <w:t>In the Application, PAWC request</w:t>
      </w:r>
      <w:r>
        <w:rPr>
          <w:szCs w:val="24"/>
        </w:rPr>
        <w:t>ed</w:t>
      </w:r>
      <w:r w:rsidRPr="00C76F4F">
        <w:rPr>
          <w:szCs w:val="24"/>
        </w:rPr>
        <w:t xml:space="preserve"> the Commission grant </w:t>
      </w:r>
      <w:r>
        <w:rPr>
          <w:szCs w:val="24"/>
        </w:rPr>
        <w:t xml:space="preserve">to </w:t>
      </w:r>
      <w:r w:rsidRPr="00C76F4F">
        <w:rPr>
          <w:szCs w:val="24"/>
        </w:rPr>
        <w:t xml:space="preserve">PAWC the right to offer or furnish water service to the public in </w:t>
      </w:r>
      <w:r w:rsidR="009751DE">
        <w:rPr>
          <w:szCs w:val="24"/>
        </w:rPr>
        <w:t xml:space="preserve">an additional </w:t>
      </w:r>
      <w:r w:rsidRPr="00C76F4F">
        <w:rPr>
          <w:szCs w:val="24"/>
        </w:rPr>
        <w:t>portion</w:t>
      </w:r>
      <w:r w:rsidR="009751DE">
        <w:rPr>
          <w:szCs w:val="24"/>
        </w:rPr>
        <w:t xml:space="preserve"> of the Township of Farmington, and the right to offer or furnish wastewater service to the public in a portion of the Township of Farmington, Clarion C</w:t>
      </w:r>
      <w:r w:rsidRPr="00C76F4F">
        <w:rPr>
          <w:szCs w:val="24"/>
        </w:rPr>
        <w:t>ounty, Pennsylvania.</w:t>
      </w:r>
      <w:r w:rsidR="009751DE">
        <w:rPr>
          <w:szCs w:val="24"/>
        </w:rPr>
        <w:t xml:space="preserve"> </w:t>
      </w:r>
      <w:r w:rsidRPr="53C8E92D">
        <w:rPr>
          <w:szCs w:val="24"/>
        </w:rPr>
        <w:t xml:space="preserve"> </w:t>
      </w:r>
      <w:r w:rsidR="009751DE">
        <w:rPr>
          <w:szCs w:val="24"/>
        </w:rPr>
        <w:t>Applicant</w:t>
      </w:r>
      <w:r>
        <w:rPr>
          <w:szCs w:val="24"/>
        </w:rPr>
        <w:t xml:space="preserve"> noted </w:t>
      </w:r>
      <w:r w:rsidR="009751DE">
        <w:rPr>
          <w:szCs w:val="24"/>
        </w:rPr>
        <w:t xml:space="preserve">Farmington and PAWC entered into </w:t>
      </w:r>
      <w:r>
        <w:rPr>
          <w:szCs w:val="24"/>
        </w:rPr>
        <w:t xml:space="preserve">an </w:t>
      </w:r>
      <w:r w:rsidR="009751DE">
        <w:rPr>
          <w:szCs w:val="24"/>
        </w:rPr>
        <w:t xml:space="preserve">Asset Purchase </w:t>
      </w:r>
      <w:r>
        <w:rPr>
          <w:szCs w:val="24"/>
        </w:rPr>
        <w:t xml:space="preserve">Agreement </w:t>
      </w:r>
      <w:r w:rsidR="009751DE">
        <w:rPr>
          <w:szCs w:val="24"/>
        </w:rPr>
        <w:t xml:space="preserve">(APA) on June 8, 2023.  </w:t>
      </w:r>
    </w:p>
    <w:p w14:paraId="3F8AE821" w14:textId="77777777" w:rsidR="00066BF9" w:rsidRDefault="00066BF9" w:rsidP="00066BF9">
      <w:pPr>
        <w:pStyle w:val="ListParagraph"/>
        <w:spacing w:line="360" w:lineRule="auto"/>
        <w:ind w:left="0" w:firstLine="1440"/>
        <w:rPr>
          <w:szCs w:val="24"/>
        </w:rPr>
      </w:pPr>
    </w:p>
    <w:p w14:paraId="49EDF655" w14:textId="2EBD51B7" w:rsidR="00066BF9" w:rsidRDefault="00066BF9" w:rsidP="001D491A">
      <w:pPr>
        <w:pStyle w:val="ListParagraph"/>
        <w:spacing w:line="360" w:lineRule="auto"/>
        <w:ind w:left="0" w:firstLine="1440"/>
      </w:pPr>
      <w:r>
        <w:rPr>
          <w:szCs w:val="24"/>
        </w:rPr>
        <w:t xml:space="preserve">The Office of Small Business Advocate (OSBA) filed a </w:t>
      </w:r>
      <w:r w:rsidRPr="53C8E92D">
        <w:rPr>
          <w:szCs w:val="24"/>
        </w:rPr>
        <w:t xml:space="preserve">Protest, </w:t>
      </w:r>
      <w:r>
        <w:rPr>
          <w:szCs w:val="24"/>
        </w:rPr>
        <w:t xml:space="preserve">Notice of Appearance, </w:t>
      </w:r>
      <w:r w:rsidRPr="53C8E92D">
        <w:rPr>
          <w:szCs w:val="24"/>
        </w:rPr>
        <w:t xml:space="preserve">Notice of Intervention, Public Statement and Verification </w:t>
      </w:r>
      <w:r w:rsidR="001D491A">
        <w:rPr>
          <w:szCs w:val="24"/>
        </w:rPr>
        <w:t xml:space="preserve">on </w:t>
      </w:r>
      <w:r w:rsidR="009751DE">
        <w:rPr>
          <w:szCs w:val="24"/>
        </w:rPr>
        <w:t>September 14</w:t>
      </w:r>
      <w:r w:rsidR="001D491A">
        <w:rPr>
          <w:szCs w:val="24"/>
        </w:rPr>
        <w:t>, 2023</w:t>
      </w:r>
      <w:r w:rsidRPr="53C8E92D">
        <w:rPr>
          <w:szCs w:val="24"/>
        </w:rPr>
        <w:t>.</w:t>
      </w:r>
      <w:r w:rsidR="001D491A">
        <w:rPr>
          <w:szCs w:val="24"/>
        </w:rPr>
        <w:t xml:space="preserve">  On </w:t>
      </w:r>
      <w:r w:rsidR="009751DE">
        <w:rPr>
          <w:szCs w:val="24"/>
        </w:rPr>
        <w:t>September 25</w:t>
      </w:r>
      <w:r>
        <w:rPr>
          <w:szCs w:val="24"/>
        </w:rPr>
        <w:t>, 2023, the Office of Consumer Advocate (OC</w:t>
      </w:r>
      <w:r w:rsidR="001D491A">
        <w:rPr>
          <w:szCs w:val="24"/>
        </w:rPr>
        <w:t>A</w:t>
      </w:r>
      <w:r>
        <w:rPr>
          <w:szCs w:val="24"/>
        </w:rPr>
        <w:t>) filed a Protest and Public Statement.</w:t>
      </w:r>
      <w:r>
        <w:tab/>
      </w:r>
    </w:p>
    <w:p w14:paraId="4ED498FE" w14:textId="77777777" w:rsidR="001D491A" w:rsidRDefault="001D491A" w:rsidP="001D491A">
      <w:pPr>
        <w:pStyle w:val="ListParagraph"/>
        <w:spacing w:line="360" w:lineRule="auto"/>
        <w:ind w:left="0" w:firstLine="1440"/>
      </w:pPr>
    </w:p>
    <w:p w14:paraId="4910055A" w14:textId="26D49389" w:rsidR="00066BF9" w:rsidRDefault="001D491A" w:rsidP="001D491A">
      <w:pPr>
        <w:pStyle w:val="ListParagraph"/>
        <w:spacing w:line="360" w:lineRule="auto"/>
        <w:ind w:left="0" w:firstLine="1440"/>
        <w:rPr>
          <w:szCs w:val="24"/>
        </w:rPr>
      </w:pPr>
      <w:r>
        <w:t xml:space="preserve">On </w:t>
      </w:r>
      <w:r w:rsidR="009751DE">
        <w:rPr>
          <w:szCs w:val="24"/>
        </w:rPr>
        <w:t>September 25</w:t>
      </w:r>
      <w:r w:rsidR="00066BF9" w:rsidRPr="53C8E92D">
        <w:rPr>
          <w:szCs w:val="24"/>
        </w:rPr>
        <w:t xml:space="preserve">, 2023, </w:t>
      </w:r>
      <w:r w:rsidR="00066BF9">
        <w:rPr>
          <w:szCs w:val="24"/>
        </w:rPr>
        <w:t>PAWC filed its Proof of Publication</w:t>
      </w:r>
      <w:r w:rsidR="002D359D">
        <w:rPr>
          <w:szCs w:val="24"/>
        </w:rPr>
        <w:t xml:space="preserve"> as well as filing proof of compliance with the Commission’s notice requirements</w:t>
      </w:r>
      <w:r w:rsidR="00066BF9">
        <w:rPr>
          <w:szCs w:val="24"/>
        </w:rPr>
        <w:t>.</w:t>
      </w:r>
      <w:r w:rsidR="002D359D">
        <w:rPr>
          <w:szCs w:val="24"/>
        </w:rPr>
        <w:t xml:space="preserve">  Thereafter, on September 28, 2023, PAWC filed an Original Cost of Water Utility Plant and Depreciation Reserve Calculations, as well as an Original Cost of Wastewater Utility Plant and Depreciation Reserve Calculations.</w:t>
      </w:r>
    </w:p>
    <w:p w14:paraId="38C5892D" w14:textId="77777777" w:rsidR="001D491A" w:rsidRDefault="001D491A" w:rsidP="001D491A">
      <w:pPr>
        <w:pStyle w:val="ListParagraph"/>
        <w:spacing w:line="360" w:lineRule="auto"/>
        <w:ind w:left="0" w:firstLine="1440"/>
        <w:rPr>
          <w:szCs w:val="24"/>
        </w:rPr>
      </w:pPr>
    </w:p>
    <w:p w14:paraId="47B02C0C" w14:textId="7F53E2D7" w:rsidR="00853554" w:rsidRDefault="00066BF9" w:rsidP="001D491A">
      <w:pPr>
        <w:pStyle w:val="ListParagraph"/>
        <w:spacing w:line="360" w:lineRule="auto"/>
        <w:ind w:left="0" w:firstLine="1440"/>
        <w:rPr>
          <w:szCs w:val="24"/>
        </w:rPr>
      </w:pPr>
      <w:r>
        <w:rPr>
          <w:szCs w:val="24"/>
        </w:rPr>
        <w:t xml:space="preserve">On November 3, 2023, </w:t>
      </w:r>
      <w:r w:rsidR="001D491A">
        <w:rPr>
          <w:szCs w:val="24"/>
        </w:rPr>
        <w:t xml:space="preserve">the Office of Administrative Law Judge (OALJ) issued </w:t>
      </w:r>
      <w:r w:rsidRPr="53C8E92D">
        <w:rPr>
          <w:szCs w:val="24"/>
        </w:rPr>
        <w:t>a</w:t>
      </w:r>
      <w:r>
        <w:rPr>
          <w:szCs w:val="24"/>
        </w:rPr>
        <w:t xml:space="preserve"> Call-In </w:t>
      </w:r>
      <w:r w:rsidRPr="53C8E92D">
        <w:rPr>
          <w:szCs w:val="24"/>
        </w:rPr>
        <w:t xml:space="preserve">Telephonic Prehearing Conference Notice scheduling a prehearing conference for </w:t>
      </w:r>
      <w:r>
        <w:rPr>
          <w:szCs w:val="24"/>
        </w:rPr>
        <w:t xml:space="preserve">January </w:t>
      </w:r>
      <w:r w:rsidR="002D359D">
        <w:rPr>
          <w:szCs w:val="24"/>
        </w:rPr>
        <w:t>24</w:t>
      </w:r>
      <w:r>
        <w:rPr>
          <w:szCs w:val="24"/>
        </w:rPr>
        <w:t>, 2024</w:t>
      </w:r>
      <w:r w:rsidR="001D491A">
        <w:rPr>
          <w:szCs w:val="24"/>
        </w:rPr>
        <w:t xml:space="preserve">, and the matter was assigned to Administrative Law Judge Katrina L. Dunderdale (ALJ Dunderdale or presiding officer).  </w:t>
      </w:r>
      <w:r>
        <w:rPr>
          <w:szCs w:val="24"/>
        </w:rPr>
        <w:t xml:space="preserve">On January </w:t>
      </w:r>
      <w:r w:rsidR="002D359D">
        <w:rPr>
          <w:szCs w:val="24"/>
        </w:rPr>
        <w:t>18</w:t>
      </w:r>
      <w:r>
        <w:rPr>
          <w:szCs w:val="24"/>
        </w:rPr>
        <w:t>, 2024,</w:t>
      </w:r>
      <w:r w:rsidR="001D491A">
        <w:rPr>
          <w:szCs w:val="24"/>
        </w:rPr>
        <w:t xml:space="preserve"> the presiding officer</w:t>
      </w:r>
      <w:r>
        <w:rPr>
          <w:szCs w:val="24"/>
        </w:rPr>
        <w:t xml:space="preserve"> issued a Prehearing Conference Order</w:t>
      </w:r>
      <w:r w:rsidR="001D491A">
        <w:rPr>
          <w:szCs w:val="24"/>
        </w:rPr>
        <w:t xml:space="preserve">, </w:t>
      </w:r>
      <w:r w:rsidR="00E6063C">
        <w:rPr>
          <w:szCs w:val="24"/>
        </w:rPr>
        <w:t>which indicated th</w:t>
      </w:r>
      <w:r w:rsidR="005B3831">
        <w:rPr>
          <w:szCs w:val="24"/>
        </w:rPr>
        <w:t xml:space="preserve">e </w:t>
      </w:r>
      <w:r w:rsidR="00E6063C">
        <w:rPr>
          <w:szCs w:val="24"/>
        </w:rPr>
        <w:t>issues to be addressed at the Prehearing Conference</w:t>
      </w:r>
      <w:r w:rsidR="00D209C1">
        <w:rPr>
          <w:szCs w:val="24"/>
        </w:rPr>
        <w:t xml:space="preserve">.  </w:t>
      </w:r>
    </w:p>
    <w:p w14:paraId="68032B64" w14:textId="026DE189" w:rsidR="00853554" w:rsidRDefault="00853554" w:rsidP="00D209C1">
      <w:pPr>
        <w:spacing w:line="360" w:lineRule="auto"/>
        <w:rPr>
          <w:szCs w:val="24"/>
        </w:rPr>
      </w:pPr>
    </w:p>
    <w:p w14:paraId="55058C51" w14:textId="49DE6607" w:rsidR="00D209C1" w:rsidRDefault="00853554" w:rsidP="001F3D3C">
      <w:pPr>
        <w:spacing w:line="360" w:lineRule="auto"/>
      </w:pPr>
      <w:r>
        <w:rPr>
          <w:szCs w:val="24"/>
        </w:rPr>
        <w:tab/>
      </w:r>
      <w:r>
        <w:rPr>
          <w:szCs w:val="24"/>
        </w:rPr>
        <w:tab/>
        <w:t xml:space="preserve">On </w:t>
      </w:r>
      <w:r w:rsidR="001D491A">
        <w:rPr>
          <w:szCs w:val="24"/>
        </w:rPr>
        <w:t>January</w:t>
      </w:r>
      <w:r w:rsidR="000207C2">
        <w:rPr>
          <w:szCs w:val="24"/>
        </w:rPr>
        <w:t xml:space="preserve"> </w:t>
      </w:r>
      <w:r w:rsidR="002D359D">
        <w:rPr>
          <w:szCs w:val="24"/>
        </w:rPr>
        <w:t>24</w:t>
      </w:r>
      <w:r w:rsidR="000207C2">
        <w:rPr>
          <w:szCs w:val="24"/>
        </w:rPr>
        <w:t>, 202</w:t>
      </w:r>
      <w:r w:rsidR="001D491A">
        <w:rPr>
          <w:szCs w:val="24"/>
        </w:rPr>
        <w:t>4</w:t>
      </w:r>
      <w:r>
        <w:rPr>
          <w:szCs w:val="24"/>
        </w:rPr>
        <w:t xml:space="preserve">, the </w:t>
      </w:r>
      <w:r w:rsidR="007006D5">
        <w:t>presiding officer conducted a</w:t>
      </w:r>
      <w:r w:rsidR="00D209C1">
        <w:t xml:space="preserve"> prehearing conference </w:t>
      </w:r>
      <w:r w:rsidR="001D491A">
        <w:t>on January 16, 2024, at which appeared c</w:t>
      </w:r>
      <w:r w:rsidR="00D209C1">
        <w:t xml:space="preserve">ounsel for </w:t>
      </w:r>
      <w:r w:rsidR="007006D5">
        <w:t xml:space="preserve">PAWC, </w:t>
      </w:r>
      <w:r w:rsidR="001D491A">
        <w:t xml:space="preserve">OCA and </w:t>
      </w:r>
      <w:r w:rsidR="00D209C1">
        <w:t>OSBA.</w:t>
      </w:r>
      <w:r w:rsidR="00B37939">
        <w:t xml:space="preserve">  </w:t>
      </w:r>
      <w:r w:rsidR="002D359D">
        <w:t xml:space="preserve">After discussions with the presiding officer, the parties requested the presiding officer schedule a status conference in March 2024.  Accordingly, on February 27, 2024, the OALJ issued a Call-In Telephonic Status Conference Notice scheduling a status conference for March 13, 2024.  </w:t>
      </w:r>
      <w:r w:rsidR="00D209C1">
        <w:t xml:space="preserve">  </w:t>
      </w:r>
    </w:p>
    <w:p w14:paraId="6E581DDC" w14:textId="77777777" w:rsidR="002D359D" w:rsidRDefault="002D359D" w:rsidP="001F3D3C">
      <w:pPr>
        <w:spacing w:line="360" w:lineRule="auto"/>
      </w:pPr>
    </w:p>
    <w:p w14:paraId="27B63E32" w14:textId="3BD90144" w:rsidR="00B31D73" w:rsidRPr="00FB578A" w:rsidRDefault="002D359D" w:rsidP="00FB578A">
      <w:pPr>
        <w:spacing w:line="360" w:lineRule="auto"/>
      </w:pPr>
      <w:r>
        <w:tab/>
      </w:r>
      <w:r>
        <w:tab/>
      </w:r>
      <w:r>
        <w:rPr>
          <w:szCs w:val="24"/>
        </w:rPr>
        <w:t xml:space="preserve">On March 13, 2024, the </w:t>
      </w:r>
      <w:r>
        <w:t xml:space="preserve">presiding officer conducted a prehearing conference on January 16, 2024, at which appeared counsel for PAWC, </w:t>
      </w:r>
      <w:r w:rsidR="00FB578A">
        <w:t xml:space="preserve">Farmington, </w:t>
      </w:r>
      <w:r>
        <w:t xml:space="preserve">OCA and OSBA.  </w:t>
      </w:r>
      <w:r w:rsidR="00FB578A">
        <w:t xml:space="preserve">The parties discussed the proposed litigation schedule and discovery.  Further, the parties advised the presiding officer that two settlement discussions are planned between the parties for April 1, 2 or </w:t>
      </w:r>
      <w:r w:rsidR="00D54261">
        <w:t> </w:t>
      </w:r>
      <w:r w:rsidR="00FB578A">
        <w:t xml:space="preserve">3, 2024, and again on May 7, 2024.  In addition, no party objected to the Township’s Petition to Intervene, and the presiding officer indicated the Petition would be granted in this Prehearing Order.  </w:t>
      </w:r>
      <w:r w:rsidR="00FB578A" w:rsidRPr="00FB578A">
        <w:t>This Prehearing Order commemorates the discussions at the Status Conference.</w:t>
      </w:r>
    </w:p>
    <w:p w14:paraId="0ADEFEAD" w14:textId="77777777" w:rsidR="00FB578A" w:rsidRDefault="00FB578A">
      <w:pPr>
        <w:spacing w:after="160" w:line="259" w:lineRule="auto"/>
        <w:rPr>
          <w:u w:val="single"/>
        </w:rPr>
      </w:pPr>
      <w:r>
        <w:rPr>
          <w:u w:val="single"/>
        </w:rPr>
        <w:br w:type="page"/>
      </w:r>
    </w:p>
    <w:p w14:paraId="7A6C4976" w14:textId="2510A6E2" w:rsidR="00D209C1" w:rsidRDefault="00D209C1" w:rsidP="00D209C1">
      <w:pPr>
        <w:pStyle w:val="NoSpacing"/>
        <w:spacing w:line="360" w:lineRule="auto"/>
        <w:jc w:val="center"/>
        <w:rPr>
          <w:u w:val="single"/>
        </w:rPr>
      </w:pPr>
      <w:r>
        <w:rPr>
          <w:u w:val="single"/>
        </w:rPr>
        <w:lastRenderedPageBreak/>
        <w:t>ORDER</w:t>
      </w:r>
    </w:p>
    <w:p w14:paraId="274B2E74" w14:textId="6AA188AD" w:rsidR="00D209C1" w:rsidRDefault="00D209C1" w:rsidP="00D209C1">
      <w:pPr>
        <w:pStyle w:val="NoSpacing"/>
        <w:spacing w:line="360" w:lineRule="auto"/>
      </w:pPr>
    </w:p>
    <w:p w14:paraId="52054B29" w14:textId="77777777" w:rsidR="00E23B6C" w:rsidRDefault="00E23B6C" w:rsidP="00D209C1">
      <w:pPr>
        <w:pStyle w:val="NoSpacing"/>
        <w:spacing w:line="360" w:lineRule="auto"/>
      </w:pPr>
    </w:p>
    <w:p w14:paraId="0A41D1EA" w14:textId="77777777" w:rsidR="00D209C1" w:rsidRDefault="00D209C1" w:rsidP="00D209C1">
      <w:pPr>
        <w:spacing w:line="360" w:lineRule="auto"/>
        <w:rPr>
          <w:szCs w:val="24"/>
        </w:rPr>
      </w:pPr>
      <w:r>
        <w:rPr>
          <w:szCs w:val="24"/>
        </w:rPr>
        <w:tab/>
      </w:r>
      <w:r>
        <w:rPr>
          <w:szCs w:val="24"/>
        </w:rPr>
        <w:tab/>
        <w:t>THEREFORE,</w:t>
      </w:r>
    </w:p>
    <w:p w14:paraId="1A1EB336" w14:textId="77777777" w:rsidR="00D209C1" w:rsidRDefault="00D209C1" w:rsidP="00D209C1">
      <w:pPr>
        <w:spacing w:line="360" w:lineRule="auto"/>
        <w:rPr>
          <w:szCs w:val="24"/>
        </w:rPr>
      </w:pPr>
    </w:p>
    <w:p w14:paraId="26CDD0BF" w14:textId="77777777" w:rsidR="00D209C1" w:rsidRDefault="00D209C1" w:rsidP="00D209C1">
      <w:pPr>
        <w:spacing w:line="360" w:lineRule="auto"/>
        <w:rPr>
          <w:szCs w:val="24"/>
        </w:rPr>
      </w:pPr>
      <w:r>
        <w:rPr>
          <w:szCs w:val="24"/>
        </w:rPr>
        <w:tab/>
      </w:r>
      <w:r>
        <w:rPr>
          <w:szCs w:val="24"/>
        </w:rPr>
        <w:tab/>
        <w:t>IT IS ORDERED:</w:t>
      </w:r>
    </w:p>
    <w:p w14:paraId="40CDF6B8" w14:textId="77777777" w:rsidR="00D209C1" w:rsidRDefault="00D209C1" w:rsidP="00D209C1">
      <w:pPr>
        <w:spacing w:line="360" w:lineRule="auto"/>
        <w:rPr>
          <w:szCs w:val="24"/>
        </w:rPr>
      </w:pPr>
    </w:p>
    <w:p w14:paraId="359557A7" w14:textId="4F1887F3" w:rsidR="00D209C1" w:rsidRPr="00725DC2" w:rsidRDefault="00AD297F" w:rsidP="00612809">
      <w:pPr>
        <w:numPr>
          <w:ilvl w:val="0"/>
          <w:numId w:val="1"/>
        </w:numPr>
        <w:spacing w:line="360" w:lineRule="auto"/>
        <w:ind w:left="0" w:firstLine="1440"/>
        <w:rPr>
          <w:szCs w:val="24"/>
        </w:rPr>
      </w:pPr>
      <w:r w:rsidRPr="00725DC2">
        <w:rPr>
          <w:szCs w:val="24"/>
        </w:rPr>
        <w:t>That</w:t>
      </w:r>
      <w:r w:rsidR="00D209C1" w:rsidRPr="00725DC2">
        <w:rPr>
          <w:szCs w:val="24"/>
        </w:rPr>
        <w:t xml:space="preserve"> the parties of record as of this date are </w:t>
      </w:r>
      <w:r w:rsidR="007006D5" w:rsidRPr="00725DC2">
        <w:rPr>
          <w:szCs w:val="24"/>
        </w:rPr>
        <w:t>PAWC</w:t>
      </w:r>
      <w:r w:rsidRPr="00725DC2">
        <w:rPr>
          <w:szCs w:val="24"/>
        </w:rPr>
        <w:t xml:space="preserve">, </w:t>
      </w:r>
      <w:r w:rsidR="00FB578A">
        <w:rPr>
          <w:szCs w:val="24"/>
        </w:rPr>
        <w:t xml:space="preserve">Farmington, </w:t>
      </w:r>
      <w:r w:rsidRPr="00725DC2">
        <w:rPr>
          <w:szCs w:val="24"/>
        </w:rPr>
        <w:t xml:space="preserve">OCA </w:t>
      </w:r>
      <w:r w:rsidR="00FB578A">
        <w:rPr>
          <w:szCs w:val="24"/>
        </w:rPr>
        <w:t xml:space="preserve"> and </w:t>
      </w:r>
      <w:r w:rsidRPr="00725DC2">
        <w:rPr>
          <w:szCs w:val="24"/>
        </w:rPr>
        <w:t>OSBA</w:t>
      </w:r>
      <w:r w:rsidR="00D209C1" w:rsidRPr="00725DC2">
        <w:rPr>
          <w:szCs w:val="24"/>
        </w:rPr>
        <w:t>.</w:t>
      </w:r>
    </w:p>
    <w:p w14:paraId="3D5060FC" w14:textId="77777777" w:rsidR="00D209C1" w:rsidRDefault="00D209C1" w:rsidP="00BF47C5">
      <w:pPr>
        <w:pStyle w:val="ListParagraph"/>
        <w:spacing w:line="360" w:lineRule="auto"/>
        <w:rPr>
          <w:szCs w:val="24"/>
        </w:rPr>
      </w:pPr>
    </w:p>
    <w:p w14:paraId="4FA569AE" w14:textId="24537B80" w:rsidR="00D209C1" w:rsidRDefault="00D209C1" w:rsidP="00D209C1">
      <w:pPr>
        <w:numPr>
          <w:ilvl w:val="0"/>
          <w:numId w:val="1"/>
        </w:numPr>
        <w:spacing w:line="360" w:lineRule="auto"/>
        <w:ind w:left="0" w:firstLine="1440"/>
        <w:rPr>
          <w:szCs w:val="24"/>
        </w:rPr>
      </w:pPr>
      <w:r>
        <w:rPr>
          <w:szCs w:val="24"/>
        </w:rPr>
        <w:t xml:space="preserve">That pursuant to 52 </w:t>
      </w:r>
      <w:proofErr w:type="spellStart"/>
      <w:r>
        <w:rPr>
          <w:szCs w:val="24"/>
        </w:rPr>
        <w:t>Pa.Code</w:t>
      </w:r>
      <w:proofErr w:type="spellEnd"/>
      <w:r>
        <w:rPr>
          <w:szCs w:val="24"/>
        </w:rPr>
        <w:t xml:space="preserve"> § 1.55, each party shall be limited to one </w:t>
      </w:r>
      <w:r w:rsidR="00762F7F">
        <w:rPr>
          <w:szCs w:val="24"/>
        </w:rPr>
        <w:t xml:space="preserve">mailing address </w:t>
      </w:r>
      <w:r>
        <w:rPr>
          <w:szCs w:val="24"/>
        </w:rPr>
        <w:t xml:space="preserve">entry on the service list, although there can be more than one name listed.  Service on </w:t>
      </w:r>
      <w:r w:rsidR="00B37939">
        <w:rPr>
          <w:szCs w:val="24"/>
        </w:rPr>
        <w:t>R</w:t>
      </w:r>
      <w:r>
        <w:rPr>
          <w:szCs w:val="24"/>
        </w:rPr>
        <w:t xml:space="preserve">espondent </w:t>
      </w:r>
      <w:r w:rsidR="007006D5">
        <w:rPr>
          <w:szCs w:val="24"/>
        </w:rPr>
        <w:t>PAWC</w:t>
      </w:r>
      <w:r>
        <w:rPr>
          <w:szCs w:val="24"/>
        </w:rPr>
        <w:t xml:space="preserve"> shall be made on </w:t>
      </w:r>
      <w:r w:rsidR="00FB578A">
        <w:rPr>
          <w:szCs w:val="24"/>
        </w:rPr>
        <w:t xml:space="preserve">Teresa Harrold, </w:t>
      </w:r>
      <w:r w:rsidR="00B37939">
        <w:rPr>
          <w:szCs w:val="24"/>
        </w:rPr>
        <w:t>David Zambito</w:t>
      </w:r>
      <w:r w:rsidR="00460CCF">
        <w:rPr>
          <w:szCs w:val="24"/>
        </w:rPr>
        <w:t xml:space="preserve"> and Jonathan Nase</w:t>
      </w:r>
      <w:r>
        <w:rPr>
          <w:szCs w:val="24"/>
        </w:rPr>
        <w:t xml:space="preserve">; service on OCA shall be made on </w:t>
      </w:r>
      <w:r w:rsidR="00FB578A">
        <w:rPr>
          <w:szCs w:val="24"/>
        </w:rPr>
        <w:t>David Evrard and Erin Gannon</w:t>
      </w:r>
      <w:r>
        <w:rPr>
          <w:szCs w:val="24"/>
        </w:rPr>
        <w:t xml:space="preserve">; service on OSBA shall be made on </w:t>
      </w:r>
      <w:r w:rsidR="00FB578A">
        <w:rPr>
          <w:szCs w:val="24"/>
        </w:rPr>
        <w:t>Steven Gray</w:t>
      </w:r>
      <w:r w:rsidR="00B37939">
        <w:rPr>
          <w:szCs w:val="24"/>
        </w:rPr>
        <w:t>;</w:t>
      </w:r>
      <w:r w:rsidR="00BA26E9">
        <w:rPr>
          <w:szCs w:val="24"/>
        </w:rPr>
        <w:t xml:space="preserve"> </w:t>
      </w:r>
      <w:r w:rsidR="00B37939">
        <w:rPr>
          <w:szCs w:val="24"/>
        </w:rPr>
        <w:t xml:space="preserve">and service of </w:t>
      </w:r>
      <w:r w:rsidR="00FB578A">
        <w:rPr>
          <w:szCs w:val="24"/>
        </w:rPr>
        <w:t>Farmington</w:t>
      </w:r>
      <w:r w:rsidR="00B37939">
        <w:rPr>
          <w:szCs w:val="24"/>
        </w:rPr>
        <w:t xml:space="preserve"> shall be made on </w:t>
      </w:r>
      <w:r w:rsidR="00FB578A">
        <w:rPr>
          <w:szCs w:val="24"/>
        </w:rPr>
        <w:t>Christy Logue</w:t>
      </w:r>
      <w:r>
        <w:rPr>
          <w:szCs w:val="24"/>
        </w:rPr>
        <w:t>.</w:t>
      </w:r>
      <w:r w:rsidR="00762F7F">
        <w:rPr>
          <w:szCs w:val="24"/>
        </w:rPr>
        <w:t xml:space="preserve">  The parties are responsible to inform the presiding officer and the other parties if </w:t>
      </w:r>
      <w:r w:rsidR="00FB578A">
        <w:rPr>
          <w:szCs w:val="24"/>
        </w:rPr>
        <w:t>amendments are needed</w:t>
      </w:r>
      <w:r w:rsidR="00762F7F">
        <w:rPr>
          <w:szCs w:val="24"/>
        </w:rPr>
        <w:t>.</w:t>
      </w:r>
    </w:p>
    <w:p w14:paraId="17D412A7" w14:textId="77777777" w:rsidR="00D209C1" w:rsidRDefault="00D209C1" w:rsidP="00D209C1">
      <w:pPr>
        <w:pStyle w:val="ListParagraph"/>
        <w:rPr>
          <w:szCs w:val="24"/>
        </w:rPr>
      </w:pPr>
    </w:p>
    <w:p w14:paraId="3DDC4D5C" w14:textId="77777777" w:rsidR="00D209C1" w:rsidRDefault="00D209C1" w:rsidP="00D209C1">
      <w:pPr>
        <w:numPr>
          <w:ilvl w:val="0"/>
          <w:numId w:val="1"/>
        </w:numPr>
        <w:spacing w:line="360" w:lineRule="auto"/>
        <w:rPr>
          <w:szCs w:val="24"/>
          <w:u w:val="single"/>
        </w:rPr>
      </w:pPr>
      <w:r>
        <w:rPr>
          <w:szCs w:val="24"/>
        </w:rPr>
        <w:t>That the parties may arrange service amongst themselves as they agree.</w:t>
      </w:r>
    </w:p>
    <w:p w14:paraId="4790A135" w14:textId="77777777" w:rsidR="00D209C1" w:rsidRDefault="00D209C1" w:rsidP="00D209C1">
      <w:pPr>
        <w:spacing w:line="360" w:lineRule="auto"/>
        <w:rPr>
          <w:szCs w:val="24"/>
          <w:u w:val="single"/>
        </w:rPr>
      </w:pPr>
    </w:p>
    <w:p w14:paraId="12853F7B" w14:textId="4EEA3FB5" w:rsidR="00D209C1" w:rsidRDefault="00D209C1" w:rsidP="00D209C1">
      <w:pPr>
        <w:numPr>
          <w:ilvl w:val="0"/>
          <w:numId w:val="1"/>
        </w:numPr>
        <w:spacing w:line="360" w:lineRule="auto"/>
        <w:ind w:left="0" w:firstLine="1440"/>
        <w:rPr>
          <w:szCs w:val="24"/>
        </w:rPr>
      </w:pPr>
      <w:r>
        <w:rPr>
          <w:szCs w:val="24"/>
        </w:rPr>
        <w:t xml:space="preserve">That parties </w:t>
      </w:r>
      <w:r w:rsidR="00762F7F">
        <w:rPr>
          <w:szCs w:val="24"/>
        </w:rPr>
        <w:t>must</w:t>
      </w:r>
      <w:r>
        <w:rPr>
          <w:szCs w:val="24"/>
        </w:rPr>
        <w:t xml:space="preserve"> serve documents electronically by 4:</w:t>
      </w:r>
      <w:r w:rsidR="00460CCF">
        <w:rPr>
          <w:szCs w:val="24"/>
        </w:rPr>
        <w:t>0</w:t>
      </w:r>
      <w:r>
        <w:rPr>
          <w:szCs w:val="24"/>
        </w:rPr>
        <w:t>0 p.m.</w:t>
      </w:r>
      <w:r w:rsidR="00762F7F">
        <w:rPr>
          <w:szCs w:val="24"/>
        </w:rPr>
        <w:t>, Monday to Friday,</w:t>
      </w:r>
      <w:r>
        <w:rPr>
          <w:szCs w:val="24"/>
        </w:rPr>
        <w:t xml:space="preserve"> to meet any required due date</w:t>
      </w:r>
      <w:r w:rsidR="00FB578A">
        <w:rPr>
          <w:szCs w:val="24"/>
        </w:rPr>
        <w:t>, provided the service date is not a state holiday</w:t>
      </w:r>
      <w:r>
        <w:rPr>
          <w:szCs w:val="24"/>
        </w:rPr>
        <w:t>.</w:t>
      </w:r>
    </w:p>
    <w:p w14:paraId="1CE10144" w14:textId="77777777" w:rsidR="00D209C1" w:rsidRDefault="00D209C1" w:rsidP="00D209C1">
      <w:pPr>
        <w:pStyle w:val="ListParagraph"/>
        <w:rPr>
          <w:szCs w:val="24"/>
        </w:rPr>
      </w:pPr>
    </w:p>
    <w:p w14:paraId="7EFA4E4A" w14:textId="46FEE53B" w:rsidR="00D209C1" w:rsidRPr="007006D5" w:rsidRDefault="00D209C1" w:rsidP="00917B11">
      <w:pPr>
        <w:numPr>
          <w:ilvl w:val="0"/>
          <w:numId w:val="1"/>
        </w:numPr>
        <w:spacing w:line="360" w:lineRule="auto"/>
        <w:ind w:left="0" w:firstLine="1440"/>
        <w:rPr>
          <w:szCs w:val="24"/>
        </w:rPr>
      </w:pPr>
      <w:r w:rsidRPr="007006D5">
        <w:rPr>
          <w:szCs w:val="24"/>
        </w:rPr>
        <w:t xml:space="preserve">That </w:t>
      </w:r>
      <w:r w:rsidR="000212FA" w:rsidRPr="007006D5">
        <w:rPr>
          <w:szCs w:val="24"/>
        </w:rPr>
        <w:t>the</w:t>
      </w:r>
      <w:r w:rsidRPr="007006D5">
        <w:rPr>
          <w:szCs w:val="24"/>
        </w:rPr>
        <w:t xml:space="preserve"> e-mail distribution list is </w:t>
      </w:r>
      <w:r w:rsidR="005575A4">
        <w:rPr>
          <w:szCs w:val="24"/>
        </w:rPr>
        <w:t xml:space="preserve">listed in the service list attached.  </w:t>
      </w:r>
      <w:r w:rsidRPr="007006D5">
        <w:rPr>
          <w:szCs w:val="24"/>
        </w:rPr>
        <w:t xml:space="preserve">Any changes or corrections should be communicated to </w:t>
      </w:r>
      <w:r w:rsidR="007006D5">
        <w:rPr>
          <w:szCs w:val="24"/>
        </w:rPr>
        <w:t>the presiding officer</w:t>
      </w:r>
      <w:r w:rsidRPr="007006D5">
        <w:rPr>
          <w:szCs w:val="24"/>
        </w:rPr>
        <w:t xml:space="preserve">, via e-mail </w:t>
      </w:r>
      <w:r w:rsidR="002D359D">
        <w:rPr>
          <w:szCs w:val="24"/>
        </w:rPr>
        <w:t xml:space="preserve">to the presiding officer </w:t>
      </w:r>
      <w:r w:rsidRPr="007006D5">
        <w:rPr>
          <w:szCs w:val="24"/>
        </w:rPr>
        <w:t>(</w:t>
      </w:r>
      <w:hyperlink r:id="rId8" w:history="1">
        <w:r w:rsidR="007006D5" w:rsidRPr="007006D5">
          <w:rPr>
            <w:rStyle w:val="Hyperlink"/>
            <w:szCs w:val="24"/>
          </w:rPr>
          <w:t>kdunderdal@pa.gov</w:t>
        </w:r>
      </w:hyperlink>
      <w:r w:rsidR="007006D5" w:rsidRPr="007006D5">
        <w:rPr>
          <w:szCs w:val="24"/>
        </w:rPr>
        <w:t xml:space="preserve"> ) as </w:t>
      </w:r>
      <w:r w:rsidRPr="007006D5">
        <w:rPr>
          <w:szCs w:val="24"/>
        </w:rPr>
        <w:t xml:space="preserve">soon as possible.  </w:t>
      </w:r>
    </w:p>
    <w:p w14:paraId="4C9474FA" w14:textId="77777777" w:rsidR="00D209C1" w:rsidRPr="00460CCF" w:rsidRDefault="00D209C1" w:rsidP="00D209C1">
      <w:pPr>
        <w:ind w:firstLine="1440"/>
        <w:rPr>
          <w:szCs w:val="24"/>
          <w:u w:val="single"/>
        </w:rPr>
      </w:pPr>
    </w:p>
    <w:p w14:paraId="6C53B3F0" w14:textId="38C6578A" w:rsidR="00D209C1" w:rsidRPr="00FB578A" w:rsidRDefault="00D209C1" w:rsidP="00745340">
      <w:pPr>
        <w:numPr>
          <w:ilvl w:val="0"/>
          <w:numId w:val="1"/>
        </w:numPr>
        <w:spacing w:line="360" w:lineRule="auto"/>
        <w:ind w:left="0" w:firstLine="1440"/>
        <w:rPr>
          <w:szCs w:val="24"/>
        </w:rPr>
      </w:pPr>
      <w:r w:rsidRPr="00FB578A">
        <w:rPr>
          <w:szCs w:val="24"/>
        </w:rPr>
        <w:t xml:space="preserve">That discovery shall be conducted according to the Commission’s rules and regulations (52 </w:t>
      </w:r>
      <w:proofErr w:type="spellStart"/>
      <w:r w:rsidRPr="00FB578A">
        <w:rPr>
          <w:szCs w:val="24"/>
        </w:rPr>
        <w:t>Pa.Code</w:t>
      </w:r>
      <w:proofErr w:type="spellEnd"/>
      <w:r w:rsidRPr="00FB578A">
        <w:rPr>
          <w:szCs w:val="24"/>
        </w:rPr>
        <w:t xml:space="preserve"> § 5.321 </w:t>
      </w:r>
      <w:r w:rsidRPr="00FB578A">
        <w:rPr>
          <w:szCs w:val="24"/>
          <w:u w:val="single"/>
        </w:rPr>
        <w:t>et</w:t>
      </w:r>
      <w:r w:rsidRPr="00FB578A">
        <w:rPr>
          <w:szCs w:val="24"/>
        </w:rPr>
        <w:t xml:space="preserve"> </w:t>
      </w:r>
      <w:r w:rsidRPr="00FB578A">
        <w:rPr>
          <w:szCs w:val="24"/>
          <w:u w:val="single"/>
        </w:rPr>
        <w:t>seq</w:t>
      </w:r>
      <w:r w:rsidRPr="00FB578A">
        <w:rPr>
          <w:szCs w:val="24"/>
        </w:rPr>
        <w:t>)</w:t>
      </w:r>
      <w:r w:rsidR="00FB578A" w:rsidRPr="00FB578A">
        <w:rPr>
          <w:szCs w:val="24"/>
        </w:rPr>
        <w:t xml:space="preserve">.  </w:t>
      </w:r>
      <w:r w:rsidR="00FB578A">
        <w:rPr>
          <w:szCs w:val="24"/>
        </w:rPr>
        <w:t>The parties are directed to make every reasonable effort to comply with discovery response times.  In those instances when compliance is not possible, despite a party’s best efforts, the responding party shall advise as such and the parties shall work together to address the requests and response on a timely basis.</w:t>
      </w:r>
    </w:p>
    <w:p w14:paraId="6C632689" w14:textId="108049EB" w:rsidR="00D209C1" w:rsidRDefault="00D209C1" w:rsidP="00D209C1">
      <w:pPr>
        <w:numPr>
          <w:ilvl w:val="0"/>
          <w:numId w:val="1"/>
        </w:numPr>
        <w:spacing w:line="360" w:lineRule="auto"/>
        <w:ind w:left="0" w:firstLine="1440"/>
        <w:rPr>
          <w:szCs w:val="24"/>
          <w:u w:val="single"/>
        </w:rPr>
      </w:pPr>
      <w:r>
        <w:rPr>
          <w:szCs w:val="24"/>
        </w:rPr>
        <w:lastRenderedPageBreak/>
        <w:t xml:space="preserve">That the following </w:t>
      </w:r>
      <w:r w:rsidR="00725DC2">
        <w:rPr>
          <w:szCs w:val="24"/>
        </w:rPr>
        <w:t xml:space="preserve">litigation </w:t>
      </w:r>
      <w:r>
        <w:rPr>
          <w:szCs w:val="24"/>
        </w:rPr>
        <w:t>schedule is adopted:</w:t>
      </w:r>
    </w:p>
    <w:p w14:paraId="25180490" w14:textId="77777777" w:rsidR="007006D5" w:rsidRPr="007006D5" w:rsidRDefault="007006D5" w:rsidP="007006D5">
      <w:pPr>
        <w:rPr>
          <w:szCs w:val="24"/>
        </w:rPr>
      </w:pPr>
    </w:p>
    <w:tbl>
      <w:tblPr>
        <w:tblW w:w="7285"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5"/>
        <w:gridCol w:w="4590"/>
      </w:tblGrid>
      <w:tr w:rsidR="007006D5" w14:paraId="663B669A" w14:textId="77777777" w:rsidTr="007006D5">
        <w:tc>
          <w:tcPr>
            <w:tcW w:w="2695" w:type="dxa"/>
            <w:tcMar>
              <w:top w:w="0" w:type="dxa"/>
              <w:left w:w="108" w:type="dxa"/>
              <w:bottom w:w="0" w:type="dxa"/>
              <w:right w:w="108" w:type="dxa"/>
            </w:tcMar>
            <w:hideMark/>
          </w:tcPr>
          <w:p w14:paraId="4E6FB915" w14:textId="27B60C6B" w:rsidR="007006D5" w:rsidRPr="00AC1C50" w:rsidRDefault="007006D5" w:rsidP="00F2356A">
            <w:pPr>
              <w:pStyle w:val="BodyText"/>
              <w:rPr>
                <w:rFonts w:cs="Times New Roman"/>
              </w:rPr>
            </w:pPr>
            <w:r w:rsidRPr="00AC1C50">
              <w:rPr>
                <w:rFonts w:cs="Times New Roman"/>
              </w:rPr>
              <w:t xml:space="preserve">Direct testimony </w:t>
            </w:r>
            <w:r w:rsidR="001F3D3C">
              <w:rPr>
                <w:rFonts w:cs="Times New Roman"/>
              </w:rPr>
              <w:t xml:space="preserve">of </w:t>
            </w:r>
            <w:r w:rsidR="009751DE">
              <w:rPr>
                <w:rFonts w:cs="Times New Roman"/>
              </w:rPr>
              <w:t>Applicant</w:t>
            </w:r>
            <w:r w:rsidR="00FB578A">
              <w:rPr>
                <w:rFonts w:cs="Times New Roman"/>
              </w:rPr>
              <w:t xml:space="preserve"> &amp; Township</w:t>
            </w:r>
          </w:p>
        </w:tc>
        <w:tc>
          <w:tcPr>
            <w:tcW w:w="4590" w:type="dxa"/>
            <w:tcMar>
              <w:top w:w="0" w:type="dxa"/>
              <w:left w:w="108" w:type="dxa"/>
              <w:bottom w:w="0" w:type="dxa"/>
              <w:right w:w="108" w:type="dxa"/>
            </w:tcMar>
            <w:hideMark/>
          </w:tcPr>
          <w:p w14:paraId="2F1C281B" w14:textId="09F6E2AA" w:rsidR="007006D5" w:rsidRPr="00AC1C50" w:rsidRDefault="00FB578A" w:rsidP="00F2356A">
            <w:pPr>
              <w:pStyle w:val="BodyText"/>
              <w:rPr>
                <w:rFonts w:cs="Times New Roman"/>
              </w:rPr>
            </w:pPr>
            <w:r>
              <w:rPr>
                <w:rFonts w:cs="Times New Roman"/>
              </w:rPr>
              <w:t>April 25</w:t>
            </w:r>
            <w:r w:rsidR="001F3D3C">
              <w:rPr>
                <w:rFonts w:cs="Times New Roman"/>
              </w:rPr>
              <w:t>, 2024</w:t>
            </w:r>
          </w:p>
        </w:tc>
      </w:tr>
      <w:tr w:rsidR="007006D5" w14:paraId="34CC9CC9" w14:textId="77777777" w:rsidTr="007006D5">
        <w:tc>
          <w:tcPr>
            <w:tcW w:w="2695" w:type="dxa"/>
            <w:tcMar>
              <w:top w:w="0" w:type="dxa"/>
              <w:left w:w="108" w:type="dxa"/>
              <w:bottom w:w="0" w:type="dxa"/>
              <w:right w:w="108" w:type="dxa"/>
            </w:tcMar>
            <w:hideMark/>
          </w:tcPr>
          <w:p w14:paraId="0FDC1723" w14:textId="46D8712C" w:rsidR="007006D5" w:rsidRPr="00AC1C50" w:rsidRDefault="001F3D3C" w:rsidP="00F2356A">
            <w:pPr>
              <w:pStyle w:val="BodyText"/>
              <w:rPr>
                <w:rFonts w:cs="Times New Roman"/>
              </w:rPr>
            </w:pPr>
            <w:r>
              <w:rPr>
                <w:rFonts w:cs="Times New Roman"/>
              </w:rPr>
              <w:t>Direct testimony of Other Parties</w:t>
            </w:r>
          </w:p>
        </w:tc>
        <w:tc>
          <w:tcPr>
            <w:tcW w:w="4590" w:type="dxa"/>
            <w:tcMar>
              <w:top w:w="0" w:type="dxa"/>
              <w:left w:w="108" w:type="dxa"/>
              <w:bottom w:w="0" w:type="dxa"/>
              <w:right w:w="108" w:type="dxa"/>
            </w:tcMar>
            <w:hideMark/>
          </w:tcPr>
          <w:p w14:paraId="0970507E" w14:textId="57BCEB40" w:rsidR="007006D5" w:rsidRPr="00AC1C50" w:rsidRDefault="00FB578A" w:rsidP="00F2356A">
            <w:pPr>
              <w:pStyle w:val="BodyText"/>
              <w:rPr>
                <w:rFonts w:cs="Times New Roman"/>
              </w:rPr>
            </w:pPr>
            <w:r>
              <w:rPr>
                <w:rFonts w:cs="Times New Roman"/>
              </w:rPr>
              <w:t>June 6</w:t>
            </w:r>
            <w:r w:rsidR="001F3D3C">
              <w:rPr>
                <w:rFonts w:cs="Times New Roman"/>
              </w:rPr>
              <w:t>, 2024</w:t>
            </w:r>
          </w:p>
        </w:tc>
      </w:tr>
      <w:tr w:rsidR="007006D5" w14:paraId="7E570EEF" w14:textId="77777777" w:rsidTr="007006D5">
        <w:tc>
          <w:tcPr>
            <w:tcW w:w="2695" w:type="dxa"/>
            <w:tcMar>
              <w:top w:w="0" w:type="dxa"/>
              <w:left w:w="108" w:type="dxa"/>
              <w:bottom w:w="0" w:type="dxa"/>
              <w:right w:w="108" w:type="dxa"/>
            </w:tcMar>
            <w:hideMark/>
          </w:tcPr>
          <w:p w14:paraId="28A7888A" w14:textId="77777777" w:rsidR="007006D5" w:rsidRPr="00AC1C50" w:rsidRDefault="007006D5" w:rsidP="00F2356A">
            <w:pPr>
              <w:pStyle w:val="BodyText"/>
              <w:rPr>
                <w:rFonts w:cs="Times New Roman"/>
              </w:rPr>
            </w:pPr>
            <w:r w:rsidRPr="00AC1C50">
              <w:rPr>
                <w:rFonts w:cs="Times New Roman"/>
              </w:rPr>
              <w:t>Rebuttal Testimony</w:t>
            </w:r>
          </w:p>
        </w:tc>
        <w:tc>
          <w:tcPr>
            <w:tcW w:w="4590" w:type="dxa"/>
            <w:tcMar>
              <w:top w:w="0" w:type="dxa"/>
              <w:left w:w="108" w:type="dxa"/>
              <w:bottom w:w="0" w:type="dxa"/>
              <w:right w:w="108" w:type="dxa"/>
            </w:tcMar>
            <w:hideMark/>
          </w:tcPr>
          <w:p w14:paraId="3E2DCE7B" w14:textId="558EC3DF" w:rsidR="007006D5" w:rsidRPr="00AC1C50" w:rsidRDefault="00FB578A" w:rsidP="00F2356A">
            <w:pPr>
              <w:pStyle w:val="BodyText"/>
              <w:rPr>
                <w:rFonts w:cs="Times New Roman"/>
              </w:rPr>
            </w:pPr>
            <w:r>
              <w:rPr>
                <w:rFonts w:cs="Times New Roman"/>
              </w:rPr>
              <w:t>June 25</w:t>
            </w:r>
            <w:r w:rsidR="001F3D3C">
              <w:rPr>
                <w:rFonts w:cs="Times New Roman"/>
              </w:rPr>
              <w:t>, 2024</w:t>
            </w:r>
          </w:p>
        </w:tc>
      </w:tr>
      <w:tr w:rsidR="007006D5" w14:paraId="203019DC" w14:textId="77777777" w:rsidTr="007006D5">
        <w:tc>
          <w:tcPr>
            <w:tcW w:w="2695" w:type="dxa"/>
            <w:tcMar>
              <w:top w:w="0" w:type="dxa"/>
              <w:left w:w="108" w:type="dxa"/>
              <w:bottom w:w="0" w:type="dxa"/>
              <w:right w:w="108" w:type="dxa"/>
            </w:tcMar>
            <w:hideMark/>
          </w:tcPr>
          <w:p w14:paraId="6CE4E740" w14:textId="77777777" w:rsidR="007006D5" w:rsidRPr="00AC1C50" w:rsidRDefault="007006D5" w:rsidP="00F2356A">
            <w:pPr>
              <w:pStyle w:val="BodyText"/>
              <w:rPr>
                <w:rFonts w:cs="Times New Roman"/>
              </w:rPr>
            </w:pPr>
            <w:r w:rsidRPr="00AC1C50">
              <w:rPr>
                <w:rFonts w:cs="Times New Roman"/>
              </w:rPr>
              <w:t>Surrebuttal Testimony</w:t>
            </w:r>
          </w:p>
        </w:tc>
        <w:tc>
          <w:tcPr>
            <w:tcW w:w="4590" w:type="dxa"/>
            <w:tcMar>
              <w:top w:w="0" w:type="dxa"/>
              <w:left w:w="108" w:type="dxa"/>
              <w:bottom w:w="0" w:type="dxa"/>
              <w:right w:w="108" w:type="dxa"/>
            </w:tcMar>
            <w:hideMark/>
          </w:tcPr>
          <w:p w14:paraId="248868FB" w14:textId="1E3A8424" w:rsidR="007006D5" w:rsidRPr="00AC1C50" w:rsidRDefault="00FB578A" w:rsidP="00F2356A">
            <w:pPr>
              <w:pStyle w:val="BodyText"/>
              <w:rPr>
                <w:rFonts w:cs="Times New Roman"/>
              </w:rPr>
            </w:pPr>
            <w:r>
              <w:rPr>
                <w:rFonts w:cs="Times New Roman"/>
              </w:rPr>
              <w:t>July 15</w:t>
            </w:r>
            <w:r w:rsidR="001F3D3C">
              <w:rPr>
                <w:rFonts w:cs="Times New Roman"/>
              </w:rPr>
              <w:t>, 2024</w:t>
            </w:r>
          </w:p>
        </w:tc>
      </w:tr>
      <w:tr w:rsidR="007006D5" w14:paraId="7E71C237" w14:textId="77777777" w:rsidTr="007006D5">
        <w:tc>
          <w:tcPr>
            <w:tcW w:w="2695" w:type="dxa"/>
            <w:tcMar>
              <w:top w:w="0" w:type="dxa"/>
              <w:left w:w="108" w:type="dxa"/>
              <w:bottom w:w="0" w:type="dxa"/>
              <w:right w:w="108" w:type="dxa"/>
            </w:tcMar>
            <w:hideMark/>
          </w:tcPr>
          <w:p w14:paraId="705CDAFF" w14:textId="106A6519" w:rsidR="007006D5" w:rsidRPr="00AC1C50" w:rsidRDefault="001F3D3C" w:rsidP="00F2356A">
            <w:pPr>
              <w:pStyle w:val="BodyText"/>
              <w:rPr>
                <w:rFonts w:cs="Times New Roman"/>
              </w:rPr>
            </w:pPr>
            <w:r>
              <w:rPr>
                <w:rFonts w:cs="Times New Roman"/>
              </w:rPr>
              <w:t xml:space="preserve">Written </w:t>
            </w:r>
            <w:r w:rsidR="007006D5" w:rsidRPr="00AC1C50">
              <w:rPr>
                <w:rFonts w:cs="Times New Roman"/>
              </w:rPr>
              <w:t>Rejoinder</w:t>
            </w:r>
          </w:p>
        </w:tc>
        <w:tc>
          <w:tcPr>
            <w:tcW w:w="4590" w:type="dxa"/>
            <w:tcMar>
              <w:top w:w="0" w:type="dxa"/>
              <w:left w:w="108" w:type="dxa"/>
              <w:bottom w:w="0" w:type="dxa"/>
              <w:right w:w="108" w:type="dxa"/>
            </w:tcMar>
            <w:hideMark/>
          </w:tcPr>
          <w:p w14:paraId="354A4CD1" w14:textId="270B00F4" w:rsidR="007006D5" w:rsidRPr="00AC1C50" w:rsidRDefault="00FB578A" w:rsidP="00F2356A">
            <w:pPr>
              <w:pStyle w:val="BodyText"/>
              <w:rPr>
                <w:rFonts w:cs="Times New Roman"/>
              </w:rPr>
            </w:pPr>
            <w:r>
              <w:rPr>
                <w:rFonts w:cs="Times New Roman"/>
              </w:rPr>
              <w:t>July 23</w:t>
            </w:r>
            <w:r w:rsidR="001F3D3C">
              <w:rPr>
                <w:rFonts w:cs="Times New Roman"/>
              </w:rPr>
              <w:t>, 2024</w:t>
            </w:r>
          </w:p>
        </w:tc>
      </w:tr>
      <w:tr w:rsidR="007006D5" w14:paraId="14F41380" w14:textId="77777777" w:rsidTr="007006D5">
        <w:tc>
          <w:tcPr>
            <w:tcW w:w="2695" w:type="dxa"/>
            <w:tcMar>
              <w:top w:w="0" w:type="dxa"/>
              <w:left w:w="108" w:type="dxa"/>
              <w:bottom w:w="0" w:type="dxa"/>
              <w:right w:w="108" w:type="dxa"/>
            </w:tcMar>
            <w:hideMark/>
          </w:tcPr>
          <w:p w14:paraId="6D34C571" w14:textId="77777777" w:rsidR="007006D5" w:rsidRPr="00AC1C50" w:rsidRDefault="007006D5" w:rsidP="00F2356A">
            <w:pPr>
              <w:pStyle w:val="BodyText"/>
              <w:rPr>
                <w:rFonts w:cs="Times New Roman"/>
              </w:rPr>
            </w:pPr>
            <w:r w:rsidRPr="00AC1C50">
              <w:rPr>
                <w:rFonts w:cs="Times New Roman"/>
              </w:rPr>
              <w:t>Evidentiary hearings</w:t>
            </w:r>
          </w:p>
        </w:tc>
        <w:tc>
          <w:tcPr>
            <w:tcW w:w="4590" w:type="dxa"/>
            <w:tcMar>
              <w:top w:w="0" w:type="dxa"/>
              <w:left w:w="108" w:type="dxa"/>
              <w:bottom w:w="0" w:type="dxa"/>
              <w:right w:w="108" w:type="dxa"/>
            </w:tcMar>
            <w:hideMark/>
          </w:tcPr>
          <w:p w14:paraId="1C877DDC" w14:textId="6DAB4C8D" w:rsidR="007006D5" w:rsidRPr="00AC1C50" w:rsidRDefault="00FB578A" w:rsidP="00F2356A">
            <w:pPr>
              <w:pStyle w:val="BodyText"/>
              <w:rPr>
                <w:rFonts w:cs="Times New Roman"/>
              </w:rPr>
            </w:pPr>
            <w:r>
              <w:rPr>
                <w:rFonts w:cs="Times New Roman"/>
              </w:rPr>
              <w:t>July 25</w:t>
            </w:r>
            <w:r w:rsidR="001F3D3C">
              <w:rPr>
                <w:rFonts w:cs="Times New Roman"/>
              </w:rPr>
              <w:t>, 2024</w:t>
            </w:r>
          </w:p>
        </w:tc>
      </w:tr>
      <w:tr w:rsidR="007006D5" w14:paraId="278D34A2" w14:textId="77777777" w:rsidTr="007006D5">
        <w:tc>
          <w:tcPr>
            <w:tcW w:w="2695" w:type="dxa"/>
            <w:tcMar>
              <w:top w:w="0" w:type="dxa"/>
              <w:left w:w="108" w:type="dxa"/>
              <w:bottom w:w="0" w:type="dxa"/>
              <w:right w:w="108" w:type="dxa"/>
            </w:tcMar>
            <w:hideMark/>
          </w:tcPr>
          <w:p w14:paraId="7006C769" w14:textId="77777777" w:rsidR="007006D5" w:rsidRPr="00AC1C50" w:rsidRDefault="007006D5" w:rsidP="00F2356A">
            <w:pPr>
              <w:pStyle w:val="BodyText"/>
              <w:rPr>
                <w:rFonts w:cs="Times New Roman"/>
              </w:rPr>
            </w:pPr>
            <w:r w:rsidRPr="00AC1C50">
              <w:rPr>
                <w:rFonts w:cs="Times New Roman"/>
              </w:rPr>
              <w:t>Main Briefs</w:t>
            </w:r>
          </w:p>
        </w:tc>
        <w:tc>
          <w:tcPr>
            <w:tcW w:w="4590" w:type="dxa"/>
            <w:tcMar>
              <w:top w:w="0" w:type="dxa"/>
              <w:left w:w="108" w:type="dxa"/>
              <w:bottom w:w="0" w:type="dxa"/>
              <w:right w:w="108" w:type="dxa"/>
            </w:tcMar>
            <w:hideMark/>
          </w:tcPr>
          <w:p w14:paraId="4F1D0672" w14:textId="64DAB658" w:rsidR="007006D5" w:rsidRPr="00AC1C50" w:rsidRDefault="00F959B9" w:rsidP="00F2356A">
            <w:pPr>
              <w:pStyle w:val="BodyText"/>
              <w:rPr>
                <w:rFonts w:cs="Times New Roman"/>
              </w:rPr>
            </w:pPr>
            <w:r>
              <w:rPr>
                <w:rFonts w:cs="Times New Roman"/>
              </w:rPr>
              <w:t xml:space="preserve">TBD; approx. </w:t>
            </w:r>
            <w:r w:rsidR="003E187E">
              <w:rPr>
                <w:rFonts w:cs="Times New Roman"/>
              </w:rPr>
              <w:t xml:space="preserve">August 29, </w:t>
            </w:r>
            <w:r w:rsidR="001F3D3C">
              <w:rPr>
                <w:rFonts w:cs="Times New Roman"/>
              </w:rPr>
              <w:t>2024</w:t>
            </w:r>
          </w:p>
        </w:tc>
      </w:tr>
      <w:tr w:rsidR="007006D5" w14:paraId="085E5536" w14:textId="77777777" w:rsidTr="007006D5">
        <w:tc>
          <w:tcPr>
            <w:tcW w:w="2695" w:type="dxa"/>
            <w:tcMar>
              <w:top w:w="0" w:type="dxa"/>
              <w:left w:w="108" w:type="dxa"/>
              <w:bottom w:w="0" w:type="dxa"/>
              <w:right w:w="108" w:type="dxa"/>
            </w:tcMar>
            <w:hideMark/>
          </w:tcPr>
          <w:p w14:paraId="6F28EFEF" w14:textId="77777777" w:rsidR="007006D5" w:rsidRPr="007006D5" w:rsidRDefault="007006D5" w:rsidP="00F2356A">
            <w:pPr>
              <w:pStyle w:val="BodyText"/>
              <w:rPr>
                <w:rFonts w:cs="Times New Roman"/>
              </w:rPr>
            </w:pPr>
            <w:r w:rsidRPr="007006D5">
              <w:rPr>
                <w:rFonts w:cs="Times New Roman"/>
              </w:rPr>
              <w:t>Reply Briefs</w:t>
            </w:r>
          </w:p>
        </w:tc>
        <w:tc>
          <w:tcPr>
            <w:tcW w:w="4590" w:type="dxa"/>
            <w:tcMar>
              <w:top w:w="0" w:type="dxa"/>
              <w:left w:w="108" w:type="dxa"/>
              <w:bottom w:w="0" w:type="dxa"/>
              <w:right w:w="108" w:type="dxa"/>
            </w:tcMar>
            <w:hideMark/>
          </w:tcPr>
          <w:p w14:paraId="10898FCD" w14:textId="471A743E" w:rsidR="007006D5" w:rsidRPr="007006D5" w:rsidRDefault="003E187E" w:rsidP="00F2356A">
            <w:pPr>
              <w:pStyle w:val="BodyText"/>
              <w:rPr>
                <w:rFonts w:cs="Times New Roman"/>
              </w:rPr>
            </w:pPr>
            <w:r>
              <w:rPr>
                <w:rFonts w:cs="Times New Roman"/>
              </w:rPr>
              <w:t>TBD; approx. Sept. 5</w:t>
            </w:r>
            <w:r w:rsidR="001F3D3C">
              <w:rPr>
                <w:rFonts w:cs="Times New Roman"/>
              </w:rPr>
              <w:t>, 2024</w:t>
            </w:r>
          </w:p>
        </w:tc>
      </w:tr>
    </w:tbl>
    <w:p w14:paraId="6F852455" w14:textId="77777777" w:rsidR="007006D5" w:rsidRDefault="007006D5" w:rsidP="007006D5">
      <w:pPr>
        <w:pStyle w:val="BodyText"/>
        <w:spacing w:before="10" w:line="360" w:lineRule="auto"/>
        <w:ind w:left="1440"/>
        <w:jc w:val="both"/>
        <w:rPr>
          <w:rFonts w:cs="Times New Roman"/>
        </w:rPr>
      </w:pPr>
    </w:p>
    <w:p w14:paraId="01369A53" w14:textId="3C5939AD" w:rsidR="00D209C1" w:rsidRDefault="00D209C1" w:rsidP="00D209C1">
      <w:pPr>
        <w:numPr>
          <w:ilvl w:val="0"/>
          <w:numId w:val="1"/>
        </w:numPr>
        <w:spacing w:line="360" w:lineRule="auto"/>
        <w:ind w:left="0" w:firstLine="1440"/>
        <w:rPr>
          <w:szCs w:val="24"/>
          <w:u w:val="single"/>
        </w:rPr>
      </w:pPr>
      <w:r>
        <w:rPr>
          <w:szCs w:val="24"/>
        </w:rPr>
        <w:t xml:space="preserve">That the </w:t>
      </w:r>
      <w:r w:rsidR="007006D5">
        <w:rPr>
          <w:szCs w:val="24"/>
        </w:rPr>
        <w:t xml:space="preserve">presiding officer will conduct the </w:t>
      </w:r>
      <w:r w:rsidR="003E187E">
        <w:rPr>
          <w:szCs w:val="24"/>
        </w:rPr>
        <w:t xml:space="preserve">telephonic </w:t>
      </w:r>
      <w:r w:rsidR="007006D5">
        <w:rPr>
          <w:szCs w:val="24"/>
        </w:rPr>
        <w:t xml:space="preserve">evidentiary hearing on </w:t>
      </w:r>
      <w:r w:rsidR="003E187E">
        <w:rPr>
          <w:szCs w:val="24"/>
        </w:rPr>
        <w:t>July 25</w:t>
      </w:r>
      <w:r w:rsidR="00CE0C8D">
        <w:rPr>
          <w:szCs w:val="24"/>
        </w:rPr>
        <w:t>, 2024</w:t>
      </w:r>
      <w:r>
        <w:rPr>
          <w:szCs w:val="24"/>
        </w:rPr>
        <w:t>.</w:t>
      </w:r>
      <w:r w:rsidR="008B0634">
        <w:rPr>
          <w:szCs w:val="24"/>
        </w:rPr>
        <w:t xml:space="preserve">  The parties will receive a scheduling notice from the Office of Administrative Law Judge with information about how the parties may connect to the Commission’s conference bridge line and participate in the evidentiary hearing.</w:t>
      </w:r>
    </w:p>
    <w:p w14:paraId="26CB0033" w14:textId="77777777" w:rsidR="00D209C1" w:rsidRDefault="00D209C1" w:rsidP="00D209C1">
      <w:pPr>
        <w:spacing w:line="360" w:lineRule="auto"/>
        <w:ind w:left="1440"/>
        <w:rPr>
          <w:szCs w:val="24"/>
          <w:u w:val="single"/>
        </w:rPr>
      </w:pPr>
    </w:p>
    <w:p w14:paraId="54D37826" w14:textId="77777777" w:rsidR="00D209C1" w:rsidRDefault="00D209C1" w:rsidP="00D209C1">
      <w:pPr>
        <w:numPr>
          <w:ilvl w:val="0"/>
          <w:numId w:val="1"/>
        </w:numPr>
        <w:spacing w:line="360" w:lineRule="auto"/>
        <w:ind w:left="0" w:firstLine="1440"/>
        <w:rPr>
          <w:szCs w:val="24"/>
        </w:rPr>
      </w:pPr>
      <w:r>
        <w:rPr>
          <w:szCs w:val="24"/>
        </w:rPr>
        <w:t>That a</w:t>
      </w:r>
      <w:r>
        <w:rPr>
          <w:snapToGrid w:val="0"/>
          <w:szCs w:val="24"/>
        </w:rPr>
        <w:t xml:space="preserve">ny motions with respect to, or objections to, written testimony must be presented in writing no later than three days prior to the day that the witness sponsoring that testimony is scheduled to testify.  </w:t>
      </w:r>
      <w:r>
        <w:rPr>
          <w:szCs w:val="24"/>
        </w:rPr>
        <w:t xml:space="preserve">Answers to such motions or objections may be filed within three days or sooner if circumstances warrant.  </w:t>
      </w:r>
      <w:r>
        <w:rPr>
          <w:snapToGrid w:val="0"/>
          <w:szCs w:val="24"/>
        </w:rPr>
        <w:t>Oral motions, other than for good cause, shall not be accepted.</w:t>
      </w:r>
    </w:p>
    <w:p w14:paraId="4FB5240E" w14:textId="77777777" w:rsidR="00D209C1" w:rsidRDefault="00D209C1" w:rsidP="00D209C1">
      <w:pPr>
        <w:pStyle w:val="ListParagraph"/>
        <w:rPr>
          <w:szCs w:val="24"/>
        </w:rPr>
      </w:pPr>
    </w:p>
    <w:p w14:paraId="0ED5C3F6" w14:textId="4A303172" w:rsidR="00D209C1" w:rsidRDefault="00D209C1" w:rsidP="00D209C1">
      <w:pPr>
        <w:numPr>
          <w:ilvl w:val="0"/>
          <w:numId w:val="1"/>
        </w:numPr>
        <w:spacing w:line="360" w:lineRule="auto"/>
        <w:ind w:left="0" w:firstLine="1440"/>
        <w:rPr>
          <w:szCs w:val="24"/>
        </w:rPr>
      </w:pPr>
      <w:r>
        <w:rPr>
          <w:szCs w:val="24"/>
        </w:rPr>
        <w:t xml:space="preserve">That </w:t>
      </w:r>
      <w:r w:rsidR="008B0634">
        <w:rPr>
          <w:szCs w:val="24"/>
        </w:rPr>
        <w:t xml:space="preserve">the presiding officer will issue an order after the official transcript of the evidentiary hearing is received.  This order will provide the date certain to the parties when the main briefs and reply briefs are due.  The parties will file </w:t>
      </w:r>
      <w:r>
        <w:rPr>
          <w:szCs w:val="24"/>
        </w:rPr>
        <w:t xml:space="preserve">an original copy of </w:t>
      </w:r>
      <w:r w:rsidR="008B0634">
        <w:rPr>
          <w:szCs w:val="24"/>
        </w:rPr>
        <w:t>the</w:t>
      </w:r>
      <w:r>
        <w:rPr>
          <w:szCs w:val="24"/>
        </w:rPr>
        <w:t xml:space="preserve"> main briefs </w:t>
      </w:r>
      <w:r w:rsidR="008B0634">
        <w:rPr>
          <w:szCs w:val="24"/>
        </w:rPr>
        <w:t>and the original copy of the reply briefs w</w:t>
      </w:r>
      <w:r>
        <w:rPr>
          <w:szCs w:val="24"/>
        </w:rPr>
        <w:t xml:space="preserve">ith the Secretary, in accordance with 52 </w:t>
      </w:r>
      <w:proofErr w:type="spellStart"/>
      <w:proofErr w:type="gramStart"/>
      <w:r>
        <w:rPr>
          <w:szCs w:val="24"/>
        </w:rPr>
        <w:t>Pa.Code</w:t>
      </w:r>
      <w:proofErr w:type="spellEnd"/>
      <w:proofErr w:type="gramEnd"/>
      <w:r>
        <w:rPr>
          <w:szCs w:val="24"/>
        </w:rPr>
        <w:t xml:space="preserve"> § 5.502(b), and</w:t>
      </w:r>
      <w:r w:rsidR="008B0634">
        <w:rPr>
          <w:szCs w:val="24"/>
        </w:rPr>
        <w:t xml:space="preserve"> serve</w:t>
      </w:r>
      <w:r>
        <w:rPr>
          <w:szCs w:val="24"/>
        </w:rPr>
        <w:t xml:space="preserve"> one copy </w:t>
      </w:r>
      <w:r w:rsidR="008B0634">
        <w:rPr>
          <w:szCs w:val="24"/>
        </w:rPr>
        <w:t>of each</w:t>
      </w:r>
      <w:r>
        <w:rPr>
          <w:szCs w:val="24"/>
        </w:rPr>
        <w:t xml:space="preserve"> on the presiding officer and the other parties no later than 4:00 p.m. on </w:t>
      </w:r>
      <w:r w:rsidR="008B0634">
        <w:rPr>
          <w:szCs w:val="24"/>
        </w:rPr>
        <w:t xml:space="preserve">dates set by the presiding officer.  </w:t>
      </w:r>
      <w:r>
        <w:rPr>
          <w:szCs w:val="24"/>
        </w:rPr>
        <w:t xml:space="preserve">Service can be made electronically.  52 </w:t>
      </w:r>
      <w:proofErr w:type="spellStart"/>
      <w:r>
        <w:rPr>
          <w:szCs w:val="24"/>
        </w:rPr>
        <w:t>Pa.Code</w:t>
      </w:r>
      <w:proofErr w:type="spellEnd"/>
      <w:r>
        <w:rPr>
          <w:szCs w:val="24"/>
        </w:rPr>
        <w:t xml:space="preserve"> § 5.501(e) requires that “[b]</w:t>
      </w:r>
      <w:proofErr w:type="spellStart"/>
      <w:r>
        <w:rPr>
          <w:szCs w:val="24"/>
        </w:rPr>
        <w:t>riefs</w:t>
      </w:r>
      <w:proofErr w:type="spellEnd"/>
      <w:r>
        <w:rPr>
          <w:szCs w:val="24"/>
        </w:rPr>
        <w:t xml:space="preserve"> shall be as concise as possible.”</w:t>
      </w:r>
      <w:r w:rsidR="00CE0C8D">
        <w:rPr>
          <w:szCs w:val="24"/>
        </w:rPr>
        <w:t xml:space="preserve">  </w:t>
      </w:r>
      <w:r w:rsidR="00CE0C8D">
        <w:t>Parties are directed to e-mail a copy of their as-filed briefs in a WORD-formatted document in addition to a compatible PDF format to the ALJ.  The format of the briefs served electronically on the parties may be as requested by the parties.</w:t>
      </w:r>
    </w:p>
    <w:p w14:paraId="39CB73E8" w14:textId="77777777" w:rsidR="00D209C1" w:rsidRDefault="00D209C1" w:rsidP="00D209C1">
      <w:pPr>
        <w:pStyle w:val="ListParagraph"/>
        <w:rPr>
          <w:szCs w:val="24"/>
        </w:rPr>
      </w:pPr>
    </w:p>
    <w:p w14:paraId="4D2A6652" w14:textId="77777777" w:rsidR="00D209C1" w:rsidRDefault="00D209C1" w:rsidP="00D209C1">
      <w:pPr>
        <w:numPr>
          <w:ilvl w:val="0"/>
          <w:numId w:val="1"/>
        </w:numPr>
        <w:spacing w:line="360" w:lineRule="auto"/>
        <w:ind w:left="0" w:firstLine="1440"/>
        <w:rPr>
          <w:szCs w:val="24"/>
        </w:rPr>
      </w:pPr>
      <w:r>
        <w:rPr>
          <w:szCs w:val="24"/>
        </w:rPr>
        <w:lastRenderedPageBreak/>
        <w:t xml:space="preserve">That the parties are to confer amongst themselves in an attempt to resolve all or some of the issues associated with this proceeding.  The parties are reminded it is the Commission’s policy to encourage settlements.  52 </w:t>
      </w:r>
      <w:proofErr w:type="spellStart"/>
      <w:r>
        <w:rPr>
          <w:szCs w:val="24"/>
        </w:rPr>
        <w:t>Pa.Code</w:t>
      </w:r>
      <w:proofErr w:type="spellEnd"/>
      <w:r>
        <w:rPr>
          <w:szCs w:val="24"/>
        </w:rPr>
        <w:t xml:space="preserv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w:t>
      </w:r>
    </w:p>
    <w:p w14:paraId="6EA425DD" w14:textId="77777777" w:rsidR="00D209C1" w:rsidRDefault="00D209C1" w:rsidP="00D209C1">
      <w:pPr>
        <w:pStyle w:val="ListParagraph"/>
        <w:rPr>
          <w:szCs w:val="24"/>
        </w:rPr>
      </w:pPr>
    </w:p>
    <w:p w14:paraId="2A4D7377" w14:textId="77777777" w:rsidR="00D209C1" w:rsidRDefault="00D209C1" w:rsidP="00D209C1">
      <w:pPr>
        <w:numPr>
          <w:ilvl w:val="0"/>
          <w:numId w:val="1"/>
        </w:numPr>
        <w:spacing w:line="360" w:lineRule="auto"/>
        <w:ind w:left="0" w:firstLine="1440"/>
        <w:rPr>
          <w:szCs w:val="24"/>
          <w:u w:val="single"/>
        </w:rPr>
      </w:pPr>
      <w:r>
        <w:rPr>
          <w:szCs w:val="24"/>
        </w:rPr>
        <w:t>That the parties shall comply with the procedural rules and regulations discussed herein.</w:t>
      </w:r>
    </w:p>
    <w:p w14:paraId="78537086" w14:textId="77777777" w:rsidR="00D209C1" w:rsidRDefault="00D209C1" w:rsidP="00D209C1">
      <w:pPr>
        <w:spacing w:line="360" w:lineRule="auto"/>
        <w:rPr>
          <w:szCs w:val="24"/>
        </w:rPr>
      </w:pPr>
    </w:p>
    <w:p w14:paraId="3410ABC8" w14:textId="77777777" w:rsidR="00D209C1" w:rsidRDefault="00D209C1" w:rsidP="00D209C1">
      <w:pPr>
        <w:spacing w:line="360" w:lineRule="auto"/>
        <w:rPr>
          <w:szCs w:val="24"/>
        </w:rPr>
      </w:pPr>
    </w:p>
    <w:p w14:paraId="18D36AF3" w14:textId="07637FAA" w:rsidR="00D209C1" w:rsidRPr="003214D3" w:rsidRDefault="00D209C1" w:rsidP="00D209C1">
      <w:pPr>
        <w:rPr>
          <w:b/>
          <w:szCs w:val="24"/>
          <w:u w:val="single"/>
        </w:rPr>
      </w:pPr>
      <w:r>
        <w:rPr>
          <w:szCs w:val="24"/>
        </w:rPr>
        <w:t xml:space="preserve">Date:  </w:t>
      </w:r>
      <w:r w:rsidR="008B0634">
        <w:rPr>
          <w:szCs w:val="24"/>
          <w:u w:val="single"/>
        </w:rPr>
        <w:t>March 14</w:t>
      </w:r>
      <w:r w:rsidR="00CE0C8D">
        <w:rPr>
          <w:szCs w:val="24"/>
          <w:u w:val="single"/>
        </w:rPr>
        <w:t>, 2024</w:t>
      </w:r>
      <w:r>
        <w:rPr>
          <w:szCs w:val="24"/>
          <w:u w:val="single"/>
        </w:rPr>
        <w:t xml:space="preserve">  </w:t>
      </w:r>
      <w:r>
        <w:rPr>
          <w:szCs w:val="24"/>
        </w:rPr>
        <w:t xml:space="preserve"> </w:t>
      </w:r>
      <w:r>
        <w:rPr>
          <w:szCs w:val="24"/>
        </w:rPr>
        <w:tab/>
      </w:r>
      <w:r>
        <w:rPr>
          <w:szCs w:val="24"/>
        </w:rPr>
        <w:tab/>
      </w:r>
      <w:r>
        <w:rPr>
          <w:szCs w:val="24"/>
        </w:rPr>
        <w:tab/>
      </w:r>
      <w:r>
        <w:rPr>
          <w:szCs w:val="24"/>
        </w:rPr>
        <w:tab/>
      </w:r>
      <w:r w:rsidR="003214D3">
        <w:rPr>
          <w:szCs w:val="24"/>
          <w:u w:val="single"/>
        </w:rPr>
        <w:tab/>
      </w:r>
      <w:r w:rsidR="003214D3">
        <w:rPr>
          <w:szCs w:val="24"/>
          <w:u w:val="single"/>
        </w:rPr>
        <w:tab/>
        <w:t>/s/</w:t>
      </w:r>
      <w:r w:rsidR="003214D3">
        <w:rPr>
          <w:szCs w:val="24"/>
          <w:u w:val="single"/>
        </w:rPr>
        <w:tab/>
      </w:r>
      <w:r w:rsidR="003214D3">
        <w:rPr>
          <w:szCs w:val="24"/>
          <w:u w:val="single"/>
        </w:rPr>
        <w:tab/>
      </w:r>
      <w:r w:rsidR="003214D3">
        <w:rPr>
          <w:szCs w:val="24"/>
          <w:u w:val="single"/>
        </w:rPr>
        <w:tab/>
      </w:r>
      <w:r w:rsidR="003214D3">
        <w:rPr>
          <w:szCs w:val="24"/>
          <w:u w:val="single"/>
        </w:rPr>
        <w:tab/>
      </w:r>
    </w:p>
    <w:p w14:paraId="01BAB03E" w14:textId="313893AE" w:rsidR="00D209C1" w:rsidRDefault="00D209C1" w:rsidP="00D209C1">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342445">
        <w:rPr>
          <w:szCs w:val="24"/>
        </w:rPr>
        <w:t>Katrina L. Dunderdale</w:t>
      </w:r>
    </w:p>
    <w:p w14:paraId="10900728" w14:textId="606A0EBD" w:rsidR="004D3D6F" w:rsidRDefault="00D209C1" w:rsidP="003214D3">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r w:rsidR="004D3D6F">
        <w:rPr>
          <w:szCs w:val="24"/>
        </w:rPr>
        <w:br w:type="page"/>
      </w:r>
    </w:p>
    <w:p w14:paraId="5FC44412" w14:textId="77777777" w:rsidR="00D54261" w:rsidRDefault="00D54261" w:rsidP="003214D3">
      <w:pPr>
        <w:rPr>
          <w:szCs w:val="24"/>
        </w:rPr>
        <w:sectPr w:rsidR="00D54261" w:rsidSect="00A73982">
          <w:pgSz w:w="12240" w:h="15840"/>
          <w:pgMar w:top="1440" w:right="1440" w:bottom="1440" w:left="1440" w:header="720" w:footer="720" w:gutter="0"/>
          <w:cols w:space="720"/>
          <w:docGrid w:linePitch="360"/>
        </w:sectPr>
      </w:pPr>
    </w:p>
    <w:p w14:paraId="6C38D94F" w14:textId="5141DE3B" w:rsidR="004D3D6F" w:rsidRDefault="004D3D6F" w:rsidP="004D3D6F">
      <w:pPr>
        <w:spacing w:after="160" w:line="259" w:lineRule="auto"/>
        <w:rPr>
          <w:rFonts w:ascii="Microsoft Sans Serif" w:eastAsia="Microsoft Sans Serif" w:hAnsi="Microsoft Sans Serif" w:cs="Microsoft Sans Serif"/>
          <w:b/>
          <w:kern w:val="2"/>
          <w:szCs w:val="24"/>
          <w:u w:val="single"/>
          <w14:ligatures w14:val="standardContextual"/>
        </w:rPr>
      </w:pPr>
      <w:bookmarkStart w:id="0" w:name="_Hlk161299752"/>
      <w:r w:rsidRPr="004D3D6F">
        <w:rPr>
          <w:rFonts w:ascii="Microsoft Sans Serif" w:eastAsiaTheme="minorEastAsia" w:hAnsi="Microsoft Sans Serif" w:cs="Microsoft Sans Serif"/>
          <w:b/>
          <w:bCs/>
          <w:color w:val="000000"/>
          <w:kern w:val="2"/>
          <w:szCs w:val="24"/>
          <w:u w:val="single"/>
          <w14:ligatures w14:val="standardContextual"/>
        </w:rPr>
        <w:lastRenderedPageBreak/>
        <w:t>A-2023-3042567, A-2023-3042587</w:t>
      </w:r>
      <w:r w:rsidRPr="004D3D6F">
        <w:rPr>
          <w:rFonts w:ascii="Microsoft Sans Serif" w:eastAsiaTheme="minorEastAsia" w:hAnsi="Microsoft Sans Serif" w:cs="Microsoft Sans Serif"/>
          <w:b/>
          <w:bCs/>
          <w:color w:val="000000"/>
          <w:kern w:val="2"/>
          <w:sz w:val="22"/>
          <w:szCs w:val="22"/>
          <w:u w:val="single"/>
          <w14:ligatures w14:val="standardContextual"/>
        </w:rPr>
        <w:t xml:space="preserve"> v. </w:t>
      </w:r>
      <w:r w:rsidRPr="004D3D6F">
        <w:rPr>
          <w:rFonts w:ascii="Microsoft Sans Serif" w:eastAsiaTheme="minorEastAsia" w:hAnsi="Microsoft Sans Serif" w:cs="Microsoft Sans Serif"/>
          <w:b/>
          <w:bCs/>
          <w:color w:val="000000"/>
          <w:kern w:val="2"/>
          <w:szCs w:val="24"/>
          <w:u w:val="single"/>
          <w14:ligatures w14:val="standardContextual"/>
        </w:rPr>
        <w:t>APPLICATION OF PENNSYLVANIA-AMERICAN WATER COMPANY FOR APPROVAL OF THE TRANSFER, BY SALE, OF SUBSTANTIALLY ALL OF THE TOWNSHIP OF FARMINGTON’S ASSETS, PROPERTIES, AND RIGHTS RELATED TO ITS DRINKING WATER DISTRIBUTION SYSTEM</w:t>
      </w:r>
      <w:r w:rsidRPr="004D3D6F">
        <w:rPr>
          <w:rFonts w:ascii="Microsoft Sans Serif" w:eastAsia="Microsoft Sans Serif" w:hAnsi="Microsoft Sans Serif" w:cs="Microsoft Sans Serif"/>
          <w:b/>
          <w:kern w:val="2"/>
          <w:szCs w:val="24"/>
          <w:u w:val="single"/>
          <w14:ligatures w14:val="standardContextual"/>
        </w:rPr>
        <w:cr/>
      </w:r>
    </w:p>
    <w:p w14:paraId="5CC84C39" w14:textId="77777777" w:rsidR="004D3D6F" w:rsidRPr="004D3D6F" w:rsidRDefault="004D3D6F" w:rsidP="004D3D6F">
      <w:pPr>
        <w:spacing w:after="160" w:line="259" w:lineRule="auto"/>
        <w:rPr>
          <w:rFonts w:ascii="Microsoft Sans Serif" w:eastAsia="Microsoft Sans Serif" w:hAnsi="Microsoft Sans Serif" w:cs="Microsoft Sans Serif"/>
          <w:b/>
          <w:kern w:val="2"/>
          <w:szCs w:val="22"/>
          <w:u w:val="single"/>
          <w14:ligatures w14:val="standardContextual"/>
        </w:rPr>
        <w:sectPr w:rsidR="004D3D6F" w:rsidRPr="004D3D6F" w:rsidSect="00A73982">
          <w:type w:val="continuous"/>
          <w:pgSz w:w="12240" w:h="15840"/>
          <w:pgMar w:top="1440" w:right="1440" w:bottom="1440" w:left="1440" w:header="720" w:footer="720" w:gutter="0"/>
          <w:cols w:space="720"/>
          <w:docGrid w:linePitch="360"/>
        </w:sectPr>
      </w:pPr>
    </w:p>
    <w:p w14:paraId="0EF32BF2" w14:textId="77777777" w:rsidR="004D3D6F" w:rsidRPr="004D3D6F" w:rsidRDefault="004D3D6F" w:rsidP="00430EB4">
      <w:pPr>
        <w:spacing w:after="160"/>
        <w:rPr>
          <w:rFonts w:ascii="Microsoft Sans Serif" w:eastAsia="Microsoft Sans Serif" w:hAnsi="Microsoft Sans Serif" w:cs="Microsoft Sans Serif"/>
          <w:kern w:val="2"/>
          <w:szCs w:val="22"/>
          <w14:ligatures w14:val="standardContextual"/>
        </w:rPr>
      </w:pPr>
      <w:r w:rsidRPr="004D3D6F">
        <w:rPr>
          <w:rFonts w:ascii="Microsoft Sans Serif" w:eastAsia="Microsoft Sans Serif" w:hAnsi="Microsoft Sans Serif" w:cs="Microsoft Sans Serif"/>
          <w:kern w:val="2"/>
          <w:szCs w:val="22"/>
          <w14:ligatures w14:val="standardContextual"/>
        </w:rPr>
        <w:t>TERESA K HARROLD ESQUIRE</w:t>
      </w:r>
      <w:r w:rsidRPr="004D3D6F">
        <w:rPr>
          <w:rFonts w:ascii="Microsoft Sans Serif" w:eastAsia="Microsoft Sans Serif" w:hAnsi="Microsoft Sans Serif" w:cs="Microsoft Sans Serif"/>
          <w:kern w:val="2"/>
          <w:szCs w:val="22"/>
          <w14:ligatures w14:val="standardContextual"/>
        </w:rPr>
        <w:cr/>
        <w:t>PENNSYLVANIA AMERICAN WATER COMPANY</w:t>
      </w:r>
      <w:r w:rsidRPr="004D3D6F">
        <w:rPr>
          <w:rFonts w:ascii="Microsoft Sans Serif" w:eastAsia="Microsoft Sans Serif" w:hAnsi="Microsoft Sans Serif" w:cs="Microsoft Sans Serif"/>
          <w:kern w:val="2"/>
          <w:szCs w:val="22"/>
          <w14:ligatures w14:val="standardContextual"/>
        </w:rPr>
        <w:cr/>
        <w:t>852 WESLEY DRIVE</w:t>
      </w:r>
      <w:r w:rsidRPr="004D3D6F">
        <w:rPr>
          <w:rFonts w:ascii="Microsoft Sans Serif" w:eastAsia="Microsoft Sans Serif" w:hAnsi="Microsoft Sans Serif" w:cs="Microsoft Sans Serif"/>
          <w:kern w:val="2"/>
          <w:szCs w:val="22"/>
          <w14:ligatures w14:val="standardContextual"/>
        </w:rPr>
        <w:cr/>
        <w:t>MECHANICSBURG PA  17055</w:t>
      </w:r>
      <w:r w:rsidRPr="004D3D6F">
        <w:rPr>
          <w:rFonts w:ascii="Microsoft Sans Serif" w:eastAsia="Microsoft Sans Serif" w:hAnsi="Microsoft Sans Serif" w:cs="Microsoft Sans Serif"/>
          <w:kern w:val="2"/>
          <w:szCs w:val="22"/>
          <w14:ligatures w14:val="standardContextual"/>
        </w:rPr>
        <w:cr/>
      </w:r>
      <w:r w:rsidRPr="004D3D6F">
        <w:rPr>
          <w:rFonts w:ascii="Microsoft Sans Serif" w:eastAsia="Microsoft Sans Serif" w:hAnsi="Microsoft Sans Serif" w:cs="Microsoft Sans Serif"/>
          <w:b/>
          <w:bCs/>
          <w:kern w:val="2"/>
          <w:szCs w:val="22"/>
          <w14:ligatures w14:val="standardContextual"/>
        </w:rPr>
        <w:t>717.550.1562</w:t>
      </w:r>
      <w:r w:rsidRPr="004D3D6F">
        <w:rPr>
          <w:rFonts w:ascii="Microsoft Sans Serif" w:eastAsia="Microsoft Sans Serif" w:hAnsi="Microsoft Sans Serif" w:cs="Microsoft Sans Serif"/>
          <w:b/>
          <w:bCs/>
          <w:kern w:val="2"/>
          <w:szCs w:val="22"/>
          <w14:ligatures w14:val="standardContextual"/>
        </w:rPr>
        <w:cr/>
        <w:t>717.303.8381</w:t>
      </w:r>
      <w:r w:rsidRPr="004D3D6F">
        <w:rPr>
          <w:rFonts w:ascii="Microsoft Sans Serif" w:eastAsia="Microsoft Sans Serif" w:hAnsi="Microsoft Sans Serif" w:cs="Microsoft Sans Serif"/>
          <w:b/>
          <w:bCs/>
          <w:kern w:val="2"/>
          <w:szCs w:val="22"/>
          <w14:ligatures w14:val="standardContextual"/>
        </w:rPr>
        <w:cr/>
      </w:r>
      <w:hyperlink r:id="rId9" w:history="1">
        <w:r w:rsidRPr="004D3D6F">
          <w:rPr>
            <w:rFonts w:ascii="Microsoft Sans Serif" w:eastAsia="Microsoft Sans Serif" w:hAnsi="Microsoft Sans Serif" w:cs="Microsoft Sans Serif"/>
            <w:color w:val="0563C1" w:themeColor="hyperlink"/>
            <w:kern w:val="2"/>
            <w:szCs w:val="22"/>
            <w:u w:val="single"/>
            <w14:ligatures w14:val="standardContextual"/>
          </w:rPr>
          <w:t>teresa.harrold@amwater.com</w:t>
        </w:r>
      </w:hyperlink>
      <w:r w:rsidRPr="004D3D6F">
        <w:rPr>
          <w:rFonts w:ascii="Microsoft Sans Serif" w:eastAsia="Microsoft Sans Serif" w:hAnsi="Microsoft Sans Serif" w:cs="Microsoft Sans Serif"/>
          <w:kern w:val="2"/>
          <w:szCs w:val="22"/>
          <w14:ligatures w14:val="standardContextual"/>
        </w:rPr>
        <w:t xml:space="preserve"> </w:t>
      </w:r>
      <w:r w:rsidRPr="004D3D6F">
        <w:rPr>
          <w:rFonts w:ascii="Microsoft Sans Serif" w:eastAsia="Microsoft Sans Serif" w:hAnsi="Microsoft Sans Serif" w:cs="Microsoft Sans Serif"/>
          <w:kern w:val="2"/>
          <w:szCs w:val="22"/>
          <w14:ligatures w14:val="standardContextual"/>
        </w:rPr>
        <w:cr/>
        <w:t xml:space="preserve">Accepts eService </w:t>
      </w:r>
    </w:p>
    <w:p w14:paraId="21E9933F" w14:textId="77777777" w:rsidR="004D3D6F" w:rsidRPr="004D3D6F" w:rsidRDefault="004D3D6F" w:rsidP="004D3D6F">
      <w:pPr>
        <w:spacing w:after="160" w:line="259" w:lineRule="auto"/>
        <w:rPr>
          <w:rFonts w:ascii="Microsoft Sans Serif" w:eastAsia="Microsoft Sans Serif" w:hAnsi="Microsoft Sans Serif" w:cs="Microsoft Sans Serif"/>
          <w:kern w:val="2"/>
          <w:szCs w:val="22"/>
          <w14:ligatures w14:val="standardContextual"/>
        </w:rPr>
      </w:pPr>
      <w:r w:rsidRPr="004D3D6F">
        <w:rPr>
          <w:rFonts w:ascii="Microsoft Sans Serif" w:eastAsia="Microsoft Sans Serif" w:hAnsi="Microsoft Sans Serif" w:cs="Microsoft Sans Serif"/>
          <w:kern w:val="2"/>
          <w:szCs w:val="22"/>
          <w14:ligatures w14:val="standardContextual"/>
        </w:rPr>
        <w:cr/>
        <w:t>STEVEN C GRAY ESQUIRE</w:t>
      </w:r>
      <w:r w:rsidRPr="004D3D6F">
        <w:rPr>
          <w:rFonts w:ascii="Microsoft Sans Serif" w:eastAsia="Microsoft Sans Serif" w:hAnsi="Microsoft Sans Serif" w:cs="Microsoft Sans Serif"/>
          <w:kern w:val="2"/>
          <w:szCs w:val="22"/>
          <w14:ligatures w14:val="standardContextual"/>
        </w:rPr>
        <w:cr/>
        <w:t>OFFICE OF SMALL BUSINESS ADVOCATE</w:t>
      </w:r>
      <w:r w:rsidRPr="004D3D6F">
        <w:rPr>
          <w:rFonts w:ascii="Microsoft Sans Serif" w:eastAsia="Microsoft Sans Serif" w:hAnsi="Microsoft Sans Serif" w:cs="Microsoft Sans Serif"/>
          <w:kern w:val="2"/>
          <w:szCs w:val="22"/>
          <w14:ligatures w14:val="standardContextual"/>
        </w:rPr>
        <w:cr/>
        <w:t>FORUM PLACE</w:t>
      </w:r>
      <w:r w:rsidRPr="004D3D6F">
        <w:rPr>
          <w:rFonts w:ascii="Microsoft Sans Serif" w:eastAsia="Microsoft Sans Serif" w:hAnsi="Microsoft Sans Serif" w:cs="Microsoft Sans Serif"/>
          <w:kern w:val="2"/>
          <w:szCs w:val="22"/>
          <w14:ligatures w14:val="standardContextual"/>
        </w:rPr>
        <w:cr/>
        <w:t>555 WALNUT STREET 1ST FLOOR</w:t>
      </w:r>
      <w:r w:rsidRPr="004D3D6F">
        <w:rPr>
          <w:rFonts w:ascii="Microsoft Sans Serif" w:eastAsia="Microsoft Sans Serif" w:hAnsi="Microsoft Sans Serif" w:cs="Microsoft Sans Serif"/>
          <w:kern w:val="2"/>
          <w:szCs w:val="22"/>
          <w14:ligatures w14:val="standardContextual"/>
        </w:rPr>
        <w:cr/>
        <w:t>HARRISBURG PA  17101</w:t>
      </w:r>
      <w:r w:rsidRPr="004D3D6F">
        <w:rPr>
          <w:rFonts w:ascii="Microsoft Sans Serif" w:eastAsia="Microsoft Sans Serif" w:hAnsi="Microsoft Sans Serif" w:cs="Microsoft Sans Serif"/>
          <w:kern w:val="2"/>
          <w:szCs w:val="22"/>
          <w14:ligatures w14:val="standardContextual"/>
        </w:rPr>
        <w:cr/>
      </w:r>
      <w:r w:rsidRPr="004D3D6F">
        <w:rPr>
          <w:rFonts w:ascii="Microsoft Sans Serif" w:eastAsia="Microsoft Sans Serif" w:hAnsi="Microsoft Sans Serif" w:cs="Microsoft Sans Serif"/>
          <w:b/>
          <w:bCs/>
          <w:kern w:val="2"/>
          <w:szCs w:val="22"/>
          <w14:ligatures w14:val="standardContextual"/>
        </w:rPr>
        <w:t>717.783.2525</w:t>
      </w:r>
      <w:r w:rsidRPr="004D3D6F">
        <w:rPr>
          <w:rFonts w:ascii="Microsoft Sans Serif" w:eastAsia="Microsoft Sans Serif" w:hAnsi="Microsoft Sans Serif" w:cs="Microsoft Sans Serif"/>
          <w:b/>
          <w:bCs/>
          <w:kern w:val="2"/>
          <w:szCs w:val="22"/>
          <w14:ligatures w14:val="standardContextual"/>
        </w:rPr>
        <w:cr/>
        <w:t>717.783.2831</w:t>
      </w:r>
      <w:r w:rsidRPr="004D3D6F">
        <w:rPr>
          <w:rFonts w:ascii="Microsoft Sans Serif" w:eastAsia="Microsoft Sans Serif" w:hAnsi="Microsoft Sans Serif" w:cs="Microsoft Sans Serif"/>
          <w:b/>
          <w:bCs/>
          <w:kern w:val="2"/>
          <w:szCs w:val="22"/>
          <w14:ligatures w14:val="standardContextual"/>
        </w:rPr>
        <w:cr/>
      </w:r>
      <w:hyperlink r:id="rId10" w:history="1">
        <w:r w:rsidRPr="004D3D6F">
          <w:rPr>
            <w:rFonts w:ascii="Microsoft Sans Serif" w:eastAsia="Microsoft Sans Serif" w:hAnsi="Microsoft Sans Serif" w:cs="Microsoft Sans Serif"/>
            <w:color w:val="0563C1" w:themeColor="hyperlink"/>
            <w:kern w:val="2"/>
            <w:szCs w:val="22"/>
            <w:u w:val="single"/>
            <w14:ligatures w14:val="standardContextual"/>
          </w:rPr>
          <w:t>sgray@pa.gov</w:t>
        </w:r>
      </w:hyperlink>
      <w:r w:rsidRPr="004D3D6F">
        <w:rPr>
          <w:rFonts w:ascii="Microsoft Sans Serif" w:eastAsia="Microsoft Sans Serif" w:hAnsi="Microsoft Sans Serif" w:cs="Microsoft Sans Serif"/>
          <w:kern w:val="2"/>
          <w:szCs w:val="22"/>
          <w14:ligatures w14:val="standardContextual"/>
        </w:rPr>
        <w:t xml:space="preserve"> </w:t>
      </w:r>
      <w:r w:rsidRPr="004D3D6F">
        <w:rPr>
          <w:rFonts w:ascii="Microsoft Sans Serif" w:eastAsia="Microsoft Sans Serif" w:hAnsi="Microsoft Sans Serif" w:cs="Microsoft Sans Serif"/>
          <w:kern w:val="2"/>
          <w:szCs w:val="22"/>
          <w14:ligatures w14:val="standardContextual"/>
        </w:rPr>
        <w:cr/>
      </w:r>
      <w:r w:rsidRPr="004D3D6F">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D3D6F">
        <w:rPr>
          <w:rFonts w:ascii="Microsoft Sans Serif" w:eastAsia="Microsoft Sans Serif" w:hAnsi="Microsoft Sans Serif" w:cs="Microsoft Sans Serif"/>
          <w:i/>
          <w:iCs/>
          <w:kern w:val="2"/>
          <w:szCs w:val="22"/>
          <w14:ligatures w14:val="standardContextual"/>
        </w:rPr>
        <w:t>mail</w:t>
      </w:r>
      <w:proofErr w:type="gramEnd"/>
      <w:r w:rsidRPr="004D3D6F">
        <w:rPr>
          <w:rFonts w:ascii="Microsoft Sans Serif" w:eastAsia="Microsoft Sans Serif" w:hAnsi="Microsoft Sans Serif" w:cs="Microsoft Sans Serif"/>
          <w:kern w:val="2"/>
          <w:szCs w:val="22"/>
          <w14:ligatures w14:val="standardContextual"/>
        </w:rPr>
        <w:t xml:space="preserve"> </w:t>
      </w:r>
    </w:p>
    <w:p w14:paraId="18C2916F" w14:textId="77777777" w:rsidR="004D3D6F" w:rsidRPr="004D3D6F" w:rsidRDefault="004D3D6F" w:rsidP="004D3D6F">
      <w:pPr>
        <w:spacing w:after="160" w:line="259" w:lineRule="auto"/>
        <w:rPr>
          <w:rFonts w:ascii="Microsoft Sans Serif" w:eastAsia="Microsoft Sans Serif" w:hAnsi="Microsoft Sans Serif" w:cs="Microsoft Sans Serif"/>
          <w:kern w:val="2"/>
          <w:szCs w:val="22"/>
          <w14:ligatures w14:val="standardContextual"/>
        </w:rPr>
      </w:pPr>
      <w:r w:rsidRPr="004D3D6F">
        <w:rPr>
          <w:rFonts w:ascii="Microsoft Sans Serif" w:eastAsia="Microsoft Sans Serif" w:hAnsi="Microsoft Sans Serif" w:cs="Microsoft Sans Serif"/>
          <w:kern w:val="2"/>
          <w:szCs w:val="22"/>
          <w14:ligatures w14:val="standardContextual"/>
        </w:rPr>
        <w:cr/>
        <w:t>DAVID EVRARD ESQUIRE</w:t>
      </w:r>
      <w:r w:rsidRPr="004D3D6F">
        <w:rPr>
          <w:rFonts w:ascii="Microsoft Sans Serif" w:eastAsia="Microsoft Sans Serif" w:hAnsi="Microsoft Sans Serif" w:cs="Microsoft Sans Serif"/>
          <w:kern w:val="2"/>
          <w:szCs w:val="22"/>
          <w14:ligatures w14:val="standardContextual"/>
        </w:rPr>
        <w:cr/>
        <w:t>OFFICE OF CONSUMER ADVOCATE</w:t>
      </w:r>
      <w:r w:rsidRPr="004D3D6F">
        <w:rPr>
          <w:rFonts w:ascii="Microsoft Sans Serif" w:eastAsia="Microsoft Sans Serif" w:hAnsi="Microsoft Sans Serif" w:cs="Microsoft Sans Serif"/>
          <w:kern w:val="2"/>
          <w:szCs w:val="22"/>
          <w14:ligatures w14:val="standardContextual"/>
        </w:rPr>
        <w:cr/>
        <w:t>5TH FLOOR FORUM PLACE</w:t>
      </w:r>
      <w:r w:rsidRPr="004D3D6F">
        <w:rPr>
          <w:rFonts w:ascii="Microsoft Sans Serif" w:eastAsia="Microsoft Sans Serif" w:hAnsi="Microsoft Sans Serif" w:cs="Microsoft Sans Serif"/>
          <w:kern w:val="2"/>
          <w:szCs w:val="22"/>
          <w14:ligatures w14:val="standardContextual"/>
        </w:rPr>
        <w:cr/>
        <w:t>555 WALNUT STREET</w:t>
      </w:r>
      <w:r w:rsidRPr="004D3D6F">
        <w:rPr>
          <w:rFonts w:ascii="Microsoft Sans Serif" w:eastAsia="Microsoft Sans Serif" w:hAnsi="Microsoft Sans Serif" w:cs="Microsoft Sans Serif"/>
          <w:kern w:val="2"/>
          <w:szCs w:val="22"/>
          <w14:ligatures w14:val="standardContextual"/>
        </w:rPr>
        <w:cr/>
        <w:t>HARRISBURG PA  17101-1923</w:t>
      </w:r>
      <w:r w:rsidRPr="004D3D6F">
        <w:rPr>
          <w:rFonts w:ascii="Microsoft Sans Serif" w:eastAsia="Microsoft Sans Serif" w:hAnsi="Microsoft Sans Serif" w:cs="Microsoft Sans Serif"/>
          <w:kern w:val="2"/>
          <w:szCs w:val="22"/>
          <w14:ligatures w14:val="standardContextual"/>
        </w:rPr>
        <w:cr/>
      </w:r>
      <w:r w:rsidRPr="004D3D6F">
        <w:rPr>
          <w:rFonts w:ascii="Microsoft Sans Serif" w:eastAsia="Microsoft Sans Serif" w:hAnsi="Microsoft Sans Serif" w:cs="Microsoft Sans Serif"/>
          <w:b/>
          <w:bCs/>
          <w:kern w:val="2"/>
          <w:szCs w:val="22"/>
          <w14:ligatures w14:val="standardContextual"/>
        </w:rPr>
        <w:t>717.783.5048</w:t>
      </w:r>
      <w:r w:rsidRPr="004D3D6F">
        <w:rPr>
          <w:rFonts w:ascii="Microsoft Sans Serif" w:eastAsia="Microsoft Sans Serif" w:hAnsi="Microsoft Sans Serif" w:cs="Microsoft Sans Serif"/>
          <w:b/>
          <w:bCs/>
          <w:kern w:val="2"/>
          <w:szCs w:val="22"/>
          <w14:ligatures w14:val="standardContextual"/>
        </w:rPr>
        <w:cr/>
        <w:t>717.783.7152</w:t>
      </w:r>
      <w:r w:rsidRPr="004D3D6F">
        <w:rPr>
          <w:rFonts w:ascii="Microsoft Sans Serif" w:eastAsia="Microsoft Sans Serif" w:hAnsi="Microsoft Sans Serif" w:cs="Microsoft Sans Serif"/>
          <w:kern w:val="2"/>
          <w:szCs w:val="22"/>
          <w14:ligatures w14:val="standardContextual"/>
        </w:rPr>
        <w:cr/>
      </w:r>
      <w:hyperlink r:id="rId11" w:history="1">
        <w:r w:rsidRPr="004D3D6F">
          <w:rPr>
            <w:rFonts w:ascii="Microsoft Sans Serif" w:eastAsia="Microsoft Sans Serif" w:hAnsi="Microsoft Sans Serif" w:cs="Microsoft Sans Serif"/>
            <w:color w:val="0563C1" w:themeColor="hyperlink"/>
            <w:kern w:val="2"/>
            <w:szCs w:val="22"/>
            <w:u w:val="single"/>
            <w14:ligatures w14:val="standardContextual"/>
          </w:rPr>
          <w:t>devrard@paoca.org</w:t>
        </w:r>
      </w:hyperlink>
      <w:r w:rsidRPr="004D3D6F">
        <w:rPr>
          <w:rFonts w:ascii="Microsoft Sans Serif" w:eastAsia="Microsoft Sans Serif" w:hAnsi="Microsoft Sans Serif" w:cs="Microsoft Sans Serif"/>
          <w:kern w:val="2"/>
          <w:szCs w:val="22"/>
          <w14:ligatures w14:val="standardContextual"/>
        </w:rPr>
        <w:t xml:space="preserve"> </w:t>
      </w:r>
      <w:r w:rsidRPr="004D3D6F">
        <w:rPr>
          <w:rFonts w:ascii="Microsoft Sans Serif" w:eastAsia="Microsoft Sans Serif" w:hAnsi="Microsoft Sans Serif" w:cs="Microsoft Sans Serif"/>
          <w:kern w:val="2"/>
          <w:szCs w:val="22"/>
          <w14:ligatures w14:val="standardContextual"/>
        </w:rPr>
        <w:cr/>
      </w:r>
      <w:r w:rsidRPr="004D3D6F">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D3D6F">
        <w:rPr>
          <w:rFonts w:ascii="Microsoft Sans Serif" w:eastAsia="Microsoft Sans Serif" w:hAnsi="Microsoft Sans Serif" w:cs="Microsoft Sans Serif"/>
          <w:i/>
          <w:iCs/>
          <w:kern w:val="2"/>
          <w:szCs w:val="22"/>
          <w14:ligatures w14:val="standardContextual"/>
        </w:rPr>
        <w:t>mail</w:t>
      </w:r>
      <w:proofErr w:type="gramEnd"/>
      <w:r w:rsidRPr="004D3D6F">
        <w:rPr>
          <w:rFonts w:ascii="Microsoft Sans Serif" w:eastAsia="Microsoft Sans Serif" w:hAnsi="Microsoft Sans Serif" w:cs="Microsoft Sans Serif"/>
          <w:kern w:val="2"/>
          <w:szCs w:val="22"/>
          <w14:ligatures w14:val="standardContextual"/>
        </w:rPr>
        <w:t xml:space="preserve"> </w:t>
      </w:r>
    </w:p>
    <w:p w14:paraId="7B5215FA" w14:textId="77777777" w:rsidR="004D3D6F" w:rsidRPr="004D3D6F" w:rsidRDefault="004D3D6F" w:rsidP="004D3D6F">
      <w:pPr>
        <w:spacing w:after="160" w:line="259" w:lineRule="auto"/>
        <w:rPr>
          <w:rFonts w:ascii="Microsoft Sans Serif" w:eastAsia="Microsoft Sans Serif" w:hAnsi="Microsoft Sans Serif" w:cs="Microsoft Sans Serif"/>
          <w:kern w:val="2"/>
          <w:szCs w:val="22"/>
          <w14:ligatures w14:val="standardContextual"/>
        </w:rPr>
      </w:pPr>
      <w:r w:rsidRPr="004D3D6F">
        <w:rPr>
          <w:rFonts w:ascii="Microsoft Sans Serif" w:eastAsia="Microsoft Sans Serif" w:hAnsi="Microsoft Sans Serif" w:cs="Microsoft Sans Serif"/>
          <w:kern w:val="2"/>
          <w:szCs w:val="22"/>
          <w14:ligatures w14:val="standardContextual"/>
        </w:rPr>
        <w:cr/>
      </w:r>
    </w:p>
    <w:p w14:paraId="1722230A" w14:textId="77777777" w:rsidR="004D3D6F" w:rsidRPr="004D3D6F" w:rsidRDefault="004D3D6F" w:rsidP="004D3D6F">
      <w:pPr>
        <w:spacing w:after="160" w:line="259" w:lineRule="auto"/>
        <w:rPr>
          <w:rFonts w:ascii="Microsoft Sans Serif" w:eastAsia="Microsoft Sans Serif" w:hAnsi="Microsoft Sans Serif" w:cs="Microsoft Sans Serif"/>
          <w:kern w:val="2"/>
          <w:szCs w:val="22"/>
          <w14:ligatures w14:val="standardContextual"/>
        </w:rPr>
      </w:pPr>
    </w:p>
    <w:p w14:paraId="13A6FCFE" w14:textId="77777777" w:rsidR="004D3D6F" w:rsidRPr="004D3D6F" w:rsidRDefault="004D3D6F" w:rsidP="004D3D6F">
      <w:pPr>
        <w:spacing w:after="160" w:line="259" w:lineRule="auto"/>
        <w:rPr>
          <w:rFonts w:ascii="Microsoft Sans Serif" w:eastAsia="Microsoft Sans Serif" w:hAnsi="Microsoft Sans Serif" w:cs="Microsoft Sans Serif"/>
          <w:kern w:val="2"/>
          <w:szCs w:val="22"/>
          <w14:ligatures w14:val="standardContextual"/>
        </w:rPr>
      </w:pPr>
    </w:p>
    <w:p w14:paraId="08446542" w14:textId="0CF3EB80" w:rsidR="004D3D6F" w:rsidRPr="004D3D6F" w:rsidRDefault="004D3D6F" w:rsidP="004D3D6F">
      <w:pPr>
        <w:spacing w:after="160" w:line="259" w:lineRule="auto"/>
        <w:rPr>
          <w:rFonts w:ascii="Microsoft Sans Serif" w:eastAsia="Microsoft Sans Serif" w:hAnsi="Microsoft Sans Serif" w:cs="Microsoft Sans Serif"/>
          <w:kern w:val="2"/>
          <w:szCs w:val="22"/>
          <w14:ligatures w14:val="standardContextual"/>
        </w:rPr>
      </w:pPr>
      <w:r w:rsidRPr="004D3D6F">
        <w:rPr>
          <w:rFonts w:ascii="Microsoft Sans Serif" w:eastAsia="Microsoft Sans Serif" w:hAnsi="Microsoft Sans Serif" w:cs="Microsoft Sans Serif"/>
          <w:kern w:val="2"/>
          <w:szCs w:val="22"/>
          <w14:ligatures w14:val="standardContextual"/>
        </w:rPr>
        <w:t>JONATHAN NASE ESQUIRE</w:t>
      </w:r>
      <w:r w:rsidRPr="004D3D6F">
        <w:rPr>
          <w:rFonts w:ascii="Microsoft Sans Serif" w:eastAsia="Microsoft Sans Serif" w:hAnsi="Microsoft Sans Serif" w:cs="Microsoft Sans Serif"/>
          <w:kern w:val="2"/>
          <w:szCs w:val="22"/>
          <w14:ligatures w14:val="standardContextual"/>
        </w:rPr>
        <w:cr/>
        <w:t>DAVID P ZAMBITO ESQUIRE</w:t>
      </w:r>
      <w:r w:rsidRPr="004D3D6F">
        <w:rPr>
          <w:rFonts w:ascii="Microsoft Sans Serif" w:eastAsia="Microsoft Sans Serif" w:hAnsi="Microsoft Sans Serif" w:cs="Microsoft Sans Serif"/>
          <w:kern w:val="2"/>
          <w:szCs w:val="22"/>
          <w14:ligatures w14:val="standardContextual"/>
        </w:rPr>
        <w:cr/>
        <w:t>COZEN O'CONNOR</w:t>
      </w:r>
      <w:r w:rsidRPr="004D3D6F">
        <w:rPr>
          <w:rFonts w:ascii="Microsoft Sans Serif" w:eastAsia="Microsoft Sans Serif" w:hAnsi="Microsoft Sans Serif" w:cs="Microsoft Sans Serif"/>
          <w:kern w:val="2"/>
          <w:szCs w:val="22"/>
          <w14:ligatures w14:val="standardContextual"/>
        </w:rPr>
        <w:cr/>
        <w:t>17 NORTH SECOND STREET</w:t>
      </w:r>
      <w:r w:rsidRPr="004D3D6F">
        <w:rPr>
          <w:rFonts w:ascii="Microsoft Sans Serif" w:eastAsia="Microsoft Sans Serif" w:hAnsi="Microsoft Sans Serif" w:cs="Microsoft Sans Serif"/>
          <w:kern w:val="2"/>
          <w:szCs w:val="22"/>
          <w14:ligatures w14:val="standardContextual"/>
        </w:rPr>
        <w:cr/>
        <w:t>SUITE 1410</w:t>
      </w:r>
      <w:r w:rsidRPr="004D3D6F">
        <w:rPr>
          <w:rFonts w:ascii="Microsoft Sans Serif" w:eastAsia="Microsoft Sans Serif" w:hAnsi="Microsoft Sans Serif" w:cs="Microsoft Sans Serif"/>
          <w:kern w:val="2"/>
          <w:szCs w:val="22"/>
          <w14:ligatures w14:val="standardContextual"/>
        </w:rPr>
        <w:cr/>
        <w:t>HARRISBURG PA  17101</w:t>
      </w:r>
      <w:r w:rsidRPr="004D3D6F">
        <w:rPr>
          <w:rFonts w:ascii="Microsoft Sans Serif" w:eastAsia="Microsoft Sans Serif" w:hAnsi="Microsoft Sans Serif" w:cs="Microsoft Sans Serif"/>
          <w:kern w:val="2"/>
          <w:szCs w:val="22"/>
          <w14:ligatures w14:val="standardContextual"/>
        </w:rPr>
        <w:cr/>
      </w:r>
      <w:r w:rsidRPr="004D3D6F">
        <w:rPr>
          <w:rFonts w:ascii="Microsoft Sans Serif" w:eastAsia="Microsoft Sans Serif" w:hAnsi="Microsoft Sans Serif" w:cs="Microsoft Sans Serif"/>
          <w:b/>
          <w:bCs/>
          <w:kern w:val="2"/>
          <w:szCs w:val="22"/>
          <w14:ligatures w14:val="standardContextual"/>
        </w:rPr>
        <w:t>717.773.4191</w:t>
      </w:r>
      <w:r w:rsidRPr="004D3D6F">
        <w:rPr>
          <w:rFonts w:ascii="Microsoft Sans Serif" w:eastAsia="Microsoft Sans Serif" w:hAnsi="Microsoft Sans Serif" w:cs="Microsoft Sans Serif"/>
          <w:b/>
          <w:bCs/>
          <w:kern w:val="2"/>
          <w:szCs w:val="22"/>
          <w14:ligatures w14:val="standardContextual"/>
        </w:rPr>
        <w:cr/>
        <w:t>717.703.5892</w:t>
      </w:r>
      <w:r w:rsidRPr="004D3D6F">
        <w:rPr>
          <w:rFonts w:ascii="Microsoft Sans Serif" w:eastAsia="Microsoft Sans Serif" w:hAnsi="Microsoft Sans Serif" w:cs="Microsoft Sans Serif"/>
          <w:kern w:val="2"/>
          <w:szCs w:val="22"/>
          <w14:ligatures w14:val="standardContextual"/>
        </w:rPr>
        <w:cr/>
      </w:r>
      <w:hyperlink r:id="rId12" w:history="1">
        <w:r w:rsidRPr="004D3D6F">
          <w:rPr>
            <w:rFonts w:ascii="Microsoft Sans Serif" w:eastAsia="Microsoft Sans Serif" w:hAnsi="Microsoft Sans Serif" w:cs="Microsoft Sans Serif"/>
            <w:color w:val="0563C1" w:themeColor="hyperlink"/>
            <w:kern w:val="2"/>
            <w:szCs w:val="22"/>
            <w:u w:val="single"/>
            <w14:ligatures w14:val="standardContextual"/>
          </w:rPr>
          <w:t>jnase@cozen.com</w:t>
        </w:r>
      </w:hyperlink>
      <w:r w:rsidRPr="004D3D6F">
        <w:rPr>
          <w:rFonts w:ascii="Microsoft Sans Serif" w:eastAsia="Microsoft Sans Serif" w:hAnsi="Microsoft Sans Serif" w:cs="Microsoft Sans Serif"/>
          <w:kern w:val="2"/>
          <w:szCs w:val="22"/>
          <w14:ligatures w14:val="standardContextual"/>
        </w:rPr>
        <w:t xml:space="preserve"> </w:t>
      </w:r>
      <w:r w:rsidRPr="004D3D6F">
        <w:rPr>
          <w:rFonts w:ascii="Microsoft Sans Serif" w:eastAsia="Microsoft Sans Serif" w:hAnsi="Microsoft Sans Serif" w:cs="Microsoft Sans Serif"/>
          <w:kern w:val="2"/>
          <w:szCs w:val="22"/>
          <w14:ligatures w14:val="standardContextual"/>
        </w:rPr>
        <w:cr/>
      </w:r>
      <w:hyperlink r:id="rId13" w:history="1">
        <w:r w:rsidRPr="004D3D6F">
          <w:rPr>
            <w:rFonts w:ascii="Microsoft Sans Serif" w:eastAsia="Microsoft Sans Serif" w:hAnsi="Microsoft Sans Serif" w:cs="Microsoft Sans Serif"/>
            <w:color w:val="0563C1" w:themeColor="hyperlink"/>
            <w:kern w:val="2"/>
            <w:szCs w:val="22"/>
            <w:u w:val="single"/>
            <w14:ligatures w14:val="standardContextual"/>
          </w:rPr>
          <w:t>dzambito@cozen.com</w:t>
        </w:r>
      </w:hyperlink>
      <w:r w:rsidRPr="004D3D6F">
        <w:rPr>
          <w:rFonts w:ascii="Microsoft Sans Serif" w:eastAsia="Microsoft Sans Serif" w:hAnsi="Microsoft Sans Serif" w:cs="Microsoft Sans Serif"/>
          <w:kern w:val="2"/>
          <w:szCs w:val="22"/>
          <w14:ligatures w14:val="standardContextual"/>
        </w:rPr>
        <w:t xml:space="preserve">  </w:t>
      </w:r>
      <w:r w:rsidRPr="004D3D6F">
        <w:rPr>
          <w:rFonts w:ascii="Microsoft Sans Serif" w:eastAsia="Microsoft Sans Serif" w:hAnsi="Microsoft Sans Serif" w:cs="Microsoft Sans Serif"/>
          <w:kern w:val="2"/>
          <w:szCs w:val="22"/>
          <w14:ligatures w14:val="standardContextual"/>
        </w:rPr>
        <w:cr/>
        <w:t xml:space="preserve">Accepts eService </w:t>
      </w:r>
      <w:r w:rsidRPr="004D3D6F">
        <w:rPr>
          <w:rFonts w:ascii="Microsoft Sans Serif" w:eastAsia="Microsoft Sans Serif" w:hAnsi="Microsoft Sans Serif" w:cs="Microsoft Sans Serif"/>
          <w:kern w:val="2"/>
          <w:szCs w:val="22"/>
          <w14:ligatures w14:val="standardContextual"/>
        </w:rPr>
        <w:cr/>
      </w:r>
      <w:r w:rsidRPr="004D3D6F">
        <w:rPr>
          <w:rFonts w:ascii="Microsoft Sans Serif" w:eastAsia="Microsoft Sans Serif" w:hAnsi="Microsoft Sans Serif" w:cs="Microsoft Sans Serif"/>
          <w:kern w:val="2"/>
          <w:szCs w:val="22"/>
          <w14:ligatures w14:val="standardContextual"/>
        </w:rPr>
        <w:cr/>
        <w:t>FARMINGTON TOWNSHIP BOARD OF SUPERVISORS</w:t>
      </w:r>
      <w:r w:rsidRPr="004D3D6F">
        <w:rPr>
          <w:rFonts w:ascii="Microsoft Sans Serif" w:eastAsia="Microsoft Sans Serif" w:hAnsi="Microsoft Sans Serif" w:cs="Microsoft Sans Serif"/>
          <w:kern w:val="2"/>
          <w:szCs w:val="22"/>
          <w14:ligatures w14:val="standardContextual"/>
        </w:rPr>
        <w:cr/>
        <w:t>32691 ROUTE 66</w:t>
      </w:r>
      <w:r w:rsidRPr="004D3D6F">
        <w:rPr>
          <w:rFonts w:ascii="Microsoft Sans Serif" w:eastAsia="Microsoft Sans Serif" w:hAnsi="Microsoft Sans Serif" w:cs="Microsoft Sans Serif"/>
          <w:kern w:val="2"/>
          <w:szCs w:val="22"/>
          <w14:ligatures w14:val="standardContextual"/>
        </w:rPr>
        <w:cr/>
        <w:t>LEEPER PA  16233</w:t>
      </w:r>
      <w:r w:rsidRPr="004D3D6F">
        <w:rPr>
          <w:rFonts w:ascii="Microsoft Sans Serif" w:eastAsia="Microsoft Sans Serif" w:hAnsi="Microsoft Sans Serif" w:cs="Microsoft Sans Serif"/>
          <w:kern w:val="2"/>
          <w:szCs w:val="22"/>
          <w14:ligatures w14:val="standardContextual"/>
        </w:rPr>
        <w:cr/>
      </w:r>
      <w:r w:rsidRPr="004D3D6F">
        <w:rPr>
          <w:rFonts w:ascii="Microsoft Sans Serif" w:eastAsia="Microsoft Sans Serif" w:hAnsi="Microsoft Sans Serif" w:cs="Microsoft Sans Serif"/>
          <w:i/>
          <w:iCs/>
          <w:kern w:val="2"/>
          <w:szCs w:val="22"/>
          <w14:ligatures w14:val="standardContextual"/>
        </w:rPr>
        <w:t>Served via first class mail</w:t>
      </w:r>
      <w:r w:rsidRPr="004D3D6F">
        <w:rPr>
          <w:rFonts w:ascii="Microsoft Sans Serif" w:eastAsia="Microsoft Sans Serif" w:hAnsi="Microsoft Sans Serif" w:cs="Microsoft Sans Serif"/>
          <w:kern w:val="2"/>
          <w:szCs w:val="22"/>
          <w14:ligatures w14:val="standardContextual"/>
        </w:rPr>
        <w:t xml:space="preserve"> </w:t>
      </w:r>
    </w:p>
    <w:p w14:paraId="42ED454E" w14:textId="77777777" w:rsidR="004D3D6F" w:rsidRPr="004D3D6F" w:rsidRDefault="004D3D6F" w:rsidP="004D3D6F">
      <w:pPr>
        <w:spacing w:line="259" w:lineRule="auto"/>
        <w:rPr>
          <w:rFonts w:ascii="Microsoft Sans Serif" w:eastAsia="Microsoft Sans Serif" w:hAnsi="Microsoft Sans Serif" w:cs="Microsoft Sans Serif"/>
          <w:kern w:val="2"/>
          <w:szCs w:val="22"/>
          <w14:ligatures w14:val="standardContextual"/>
        </w:rPr>
      </w:pPr>
      <w:r w:rsidRPr="004D3D6F">
        <w:rPr>
          <w:rFonts w:ascii="Microsoft Sans Serif" w:eastAsia="Microsoft Sans Serif" w:hAnsi="Microsoft Sans Serif" w:cs="Microsoft Sans Serif"/>
          <w:kern w:val="2"/>
          <w:szCs w:val="22"/>
          <w14:ligatures w14:val="standardContextual"/>
        </w:rPr>
        <w:t>CHRISTY A LOGUE ESQUIRE</w:t>
      </w:r>
    </w:p>
    <w:p w14:paraId="2388A13F" w14:textId="77777777" w:rsidR="004D3D6F" w:rsidRPr="004D3D6F" w:rsidRDefault="004D3D6F" w:rsidP="004D3D6F">
      <w:pPr>
        <w:spacing w:line="259" w:lineRule="auto"/>
        <w:rPr>
          <w:rFonts w:ascii="Microsoft Sans Serif" w:eastAsia="Microsoft Sans Serif" w:hAnsi="Microsoft Sans Serif" w:cs="Microsoft Sans Serif"/>
          <w:kern w:val="2"/>
          <w:szCs w:val="22"/>
          <w14:ligatures w14:val="standardContextual"/>
        </w:rPr>
      </w:pPr>
      <w:r w:rsidRPr="004D3D6F">
        <w:rPr>
          <w:rFonts w:ascii="Microsoft Sans Serif" w:eastAsia="Microsoft Sans Serif" w:hAnsi="Microsoft Sans Serif" w:cs="Microsoft Sans Serif"/>
          <w:kern w:val="2"/>
          <w:szCs w:val="22"/>
          <w14:ligatures w14:val="standardContextual"/>
        </w:rPr>
        <w:t>LOGUE &amp; URIK PC</w:t>
      </w:r>
      <w:r w:rsidRPr="004D3D6F">
        <w:rPr>
          <w:rFonts w:ascii="Microsoft Sans Serif" w:eastAsia="Microsoft Sans Serif" w:hAnsi="Microsoft Sans Serif" w:cs="Microsoft Sans Serif"/>
          <w:kern w:val="2"/>
          <w:szCs w:val="22"/>
          <w14:ligatures w14:val="standardContextual"/>
        </w:rPr>
        <w:cr/>
        <w:t>319 MAIN STREET</w:t>
      </w:r>
      <w:r w:rsidRPr="004D3D6F">
        <w:rPr>
          <w:rFonts w:ascii="Microsoft Sans Serif" w:eastAsia="Microsoft Sans Serif" w:hAnsi="Microsoft Sans Serif" w:cs="Microsoft Sans Serif"/>
          <w:kern w:val="2"/>
          <w:szCs w:val="22"/>
          <w14:ligatures w14:val="standardContextual"/>
        </w:rPr>
        <w:cr/>
        <w:t>CLARION PA  16214</w:t>
      </w:r>
      <w:r w:rsidRPr="004D3D6F">
        <w:rPr>
          <w:rFonts w:ascii="Microsoft Sans Serif" w:eastAsia="Microsoft Sans Serif" w:hAnsi="Microsoft Sans Serif" w:cs="Microsoft Sans Serif"/>
          <w:kern w:val="2"/>
          <w:szCs w:val="22"/>
          <w14:ligatures w14:val="standardContextual"/>
        </w:rPr>
        <w:cr/>
      </w:r>
      <w:r w:rsidRPr="004D3D6F">
        <w:rPr>
          <w:rFonts w:ascii="Microsoft Sans Serif" w:eastAsia="Microsoft Sans Serif" w:hAnsi="Microsoft Sans Serif" w:cs="Microsoft Sans Serif"/>
          <w:b/>
          <w:bCs/>
          <w:kern w:val="2"/>
          <w:szCs w:val="22"/>
          <w14:ligatures w14:val="standardContextual"/>
        </w:rPr>
        <w:t>814.226.4440</w:t>
      </w:r>
      <w:r w:rsidRPr="004D3D6F">
        <w:rPr>
          <w:rFonts w:ascii="Microsoft Sans Serif" w:eastAsia="Microsoft Sans Serif" w:hAnsi="Microsoft Sans Serif" w:cs="Microsoft Sans Serif"/>
          <w:b/>
          <w:bCs/>
          <w:kern w:val="2"/>
          <w:szCs w:val="22"/>
          <w14:ligatures w14:val="standardContextual"/>
        </w:rPr>
        <w:cr/>
      </w:r>
      <w:hyperlink r:id="rId14" w:history="1">
        <w:r w:rsidRPr="004D3D6F">
          <w:rPr>
            <w:rFonts w:ascii="Microsoft Sans Serif" w:eastAsia="Microsoft Sans Serif" w:hAnsi="Microsoft Sans Serif" w:cs="Microsoft Sans Serif"/>
            <w:color w:val="0563C1" w:themeColor="hyperlink"/>
            <w:kern w:val="2"/>
            <w:szCs w:val="22"/>
            <w:u w:val="single"/>
            <w14:ligatures w14:val="standardContextual"/>
          </w:rPr>
          <w:t>clogue@logueurik.com</w:t>
        </w:r>
      </w:hyperlink>
      <w:r w:rsidRPr="004D3D6F">
        <w:rPr>
          <w:rFonts w:ascii="Microsoft Sans Serif" w:eastAsia="Microsoft Sans Serif" w:hAnsi="Microsoft Sans Serif" w:cs="Microsoft Sans Serif"/>
          <w:kern w:val="2"/>
          <w:szCs w:val="22"/>
          <w14:ligatures w14:val="standardContextual"/>
        </w:rPr>
        <w:t xml:space="preserve"> </w:t>
      </w:r>
      <w:r w:rsidRPr="004D3D6F">
        <w:rPr>
          <w:rFonts w:ascii="Microsoft Sans Serif" w:eastAsia="Microsoft Sans Serif" w:hAnsi="Microsoft Sans Serif" w:cs="Microsoft Sans Serif"/>
          <w:kern w:val="2"/>
          <w:szCs w:val="22"/>
          <w14:ligatures w14:val="standardContextual"/>
        </w:rPr>
        <w:cr/>
        <w:t>Accepts eService</w:t>
      </w:r>
    </w:p>
    <w:p w14:paraId="4B9EB48B" w14:textId="77777777" w:rsidR="004D3D6F" w:rsidRPr="004D3D6F" w:rsidRDefault="004D3D6F" w:rsidP="004D3D6F">
      <w:pPr>
        <w:spacing w:line="259" w:lineRule="auto"/>
        <w:rPr>
          <w:rFonts w:asciiTheme="minorHAnsi" w:eastAsiaTheme="minorEastAsia" w:hAnsiTheme="minorHAnsi" w:cstheme="minorBidi"/>
          <w:i/>
          <w:iCs/>
          <w:kern w:val="2"/>
          <w:sz w:val="22"/>
          <w:szCs w:val="22"/>
          <w14:ligatures w14:val="standardContextual"/>
        </w:rPr>
      </w:pPr>
      <w:r w:rsidRPr="004D3D6F">
        <w:rPr>
          <w:rFonts w:ascii="Microsoft Sans Serif" w:eastAsia="Microsoft Sans Serif" w:hAnsi="Microsoft Sans Serif" w:cs="Microsoft Sans Serif"/>
          <w:i/>
          <w:iCs/>
          <w:kern w:val="2"/>
          <w:szCs w:val="22"/>
          <w14:ligatures w14:val="standardContextual"/>
        </w:rPr>
        <w:t>(Counsel for Farmington)</w:t>
      </w:r>
      <w:bookmarkEnd w:id="0"/>
    </w:p>
    <w:p w14:paraId="6B145AC5" w14:textId="77777777" w:rsidR="00D16225" w:rsidRDefault="00D16225" w:rsidP="004D3D6F"/>
    <w:sectPr w:rsidR="00D16225" w:rsidSect="00A7398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8F19" w14:textId="77777777" w:rsidR="00A73982" w:rsidRDefault="00A73982" w:rsidP="00D209C1">
      <w:r>
        <w:separator/>
      </w:r>
    </w:p>
  </w:endnote>
  <w:endnote w:type="continuationSeparator" w:id="0">
    <w:p w14:paraId="43F2903C" w14:textId="77777777" w:rsidR="00A73982" w:rsidRDefault="00A73982" w:rsidP="00D2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8F35" w14:textId="77777777" w:rsidR="00A73982" w:rsidRDefault="00A73982" w:rsidP="00D209C1">
      <w:r>
        <w:separator/>
      </w:r>
    </w:p>
  </w:footnote>
  <w:footnote w:type="continuationSeparator" w:id="0">
    <w:p w14:paraId="20A8FB72" w14:textId="77777777" w:rsidR="00A73982" w:rsidRDefault="00A73982" w:rsidP="00D20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0C6"/>
    <w:multiLevelType w:val="hybridMultilevel"/>
    <w:tmpl w:val="7B5AC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671F05"/>
    <w:multiLevelType w:val="hybridMultilevel"/>
    <w:tmpl w:val="926E12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749351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0218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524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C1"/>
    <w:rsid w:val="000207C2"/>
    <w:rsid w:val="000212FA"/>
    <w:rsid w:val="00031530"/>
    <w:rsid w:val="00045C6C"/>
    <w:rsid w:val="00064049"/>
    <w:rsid w:val="00066BF9"/>
    <w:rsid w:val="000B0A62"/>
    <w:rsid w:val="000B1049"/>
    <w:rsid w:val="00100C1B"/>
    <w:rsid w:val="00112A70"/>
    <w:rsid w:val="001331AD"/>
    <w:rsid w:val="001720D1"/>
    <w:rsid w:val="00173FD9"/>
    <w:rsid w:val="001805E0"/>
    <w:rsid w:val="0019307A"/>
    <w:rsid w:val="00194F86"/>
    <w:rsid w:val="001D491A"/>
    <w:rsid w:val="001E1ECE"/>
    <w:rsid w:val="001E309D"/>
    <w:rsid w:val="001F3D3C"/>
    <w:rsid w:val="0022632E"/>
    <w:rsid w:val="00257325"/>
    <w:rsid w:val="002B16A6"/>
    <w:rsid w:val="002C3084"/>
    <w:rsid w:val="002D359D"/>
    <w:rsid w:val="002E160E"/>
    <w:rsid w:val="00304EB1"/>
    <w:rsid w:val="003214D3"/>
    <w:rsid w:val="00342445"/>
    <w:rsid w:val="00363614"/>
    <w:rsid w:val="00392DAA"/>
    <w:rsid w:val="003E187E"/>
    <w:rsid w:val="003E4A8E"/>
    <w:rsid w:val="004176A2"/>
    <w:rsid w:val="00423546"/>
    <w:rsid w:val="00430EB4"/>
    <w:rsid w:val="00460CCF"/>
    <w:rsid w:val="004D3D6F"/>
    <w:rsid w:val="004E6D34"/>
    <w:rsid w:val="005156E4"/>
    <w:rsid w:val="00536BD3"/>
    <w:rsid w:val="005575A4"/>
    <w:rsid w:val="00590522"/>
    <w:rsid w:val="005A2D63"/>
    <w:rsid w:val="005B3831"/>
    <w:rsid w:val="005E1EA5"/>
    <w:rsid w:val="00620B77"/>
    <w:rsid w:val="006232F5"/>
    <w:rsid w:val="00645C01"/>
    <w:rsid w:val="006A2975"/>
    <w:rsid w:val="006A6427"/>
    <w:rsid w:val="007006D5"/>
    <w:rsid w:val="00725DC2"/>
    <w:rsid w:val="0073204C"/>
    <w:rsid w:val="00747151"/>
    <w:rsid w:val="00762F7F"/>
    <w:rsid w:val="007A38D3"/>
    <w:rsid w:val="007C0DDA"/>
    <w:rsid w:val="007C71D0"/>
    <w:rsid w:val="007F183C"/>
    <w:rsid w:val="0080308F"/>
    <w:rsid w:val="00853554"/>
    <w:rsid w:val="00880E4C"/>
    <w:rsid w:val="0088202E"/>
    <w:rsid w:val="008B0634"/>
    <w:rsid w:val="008B1E5C"/>
    <w:rsid w:val="008B4754"/>
    <w:rsid w:val="008D6B9D"/>
    <w:rsid w:val="008E0812"/>
    <w:rsid w:val="008E5312"/>
    <w:rsid w:val="008F3F5E"/>
    <w:rsid w:val="008F4982"/>
    <w:rsid w:val="00914C8D"/>
    <w:rsid w:val="00965B29"/>
    <w:rsid w:val="009751DE"/>
    <w:rsid w:val="009D0FED"/>
    <w:rsid w:val="00A06952"/>
    <w:rsid w:val="00A24509"/>
    <w:rsid w:val="00A33965"/>
    <w:rsid w:val="00A612AA"/>
    <w:rsid w:val="00A72996"/>
    <w:rsid w:val="00A73982"/>
    <w:rsid w:val="00AA2A0C"/>
    <w:rsid w:val="00AD297F"/>
    <w:rsid w:val="00B279DF"/>
    <w:rsid w:val="00B31D73"/>
    <w:rsid w:val="00B37939"/>
    <w:rsid w:val="00B4565B"/>
    <w:rsid w:val="00B52450"/>
    <w:rsid w:val="00B92A1A"/>
    <w:rsid w:val="00BA26E9"/>
    <w:rsid w:val="00BE50A7"/>
    <w:rsid w:val="00BF47C5"/>
    <w:rsid w:val="00C04FA0"/>
    <w:rsid w:val="00C23A84"/>
    <w:rsid w:val="00C41D4B"/>
    <w:rsid w:val="00C43D71"/>
    <w:rsid w:val="00C65D38"/>
    <w:rsid w:val="00CC6177"/>
    <w:rsid w:val="00CC6F3C"/>
    <w:rsid w:val="00CE0C8D"/>
    <w:rsid w:val="00CE510D"/>
    <w:rsid w:val="00D16225"/>
    <w:rsid w:val="00D209C1"/>
    <w:rsid w:val="00D54261"/>
    <w:rsid w:val="00D942F1"/>
    <w:rsid w:val="00DF1B0D"/>
    <w:rsid w:val="00DF1E4F"/>
    <w:rsid w:val="00DF66D8"/>
    <w:rsid w:val="00E1405B"/>
    <w:rsid w:val="00E23B6C"/>
    <w:rsid w:val="00E6063C"/>
    <w:rsid w:val="00E6416C"/>
    <w:rsid w:val="00EF53D4"/>
    <w:rsid w:val="00EF7370"/>
    <w:rsid w:val="00F01399"/>
    <w:rsid w:val="00F275B4"/>
    <w:rsid w:val="00F55EDC"/>
    <w:rsid w:val="00F57E14"/>
    <w:rsid w:val="00F759A9"/>
    <w:rsid w:val="00F959B9"/>
    <w:rsid w:val="00FB578A"/>
    <w:rsid w:val="00FE52EE"/>
    <w:rsid w:val="00FE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0DEB"/>
  <w15:docId w15:val="{9B067A2E-BFFE-4636-B38E-F5ED4332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C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209C1"/>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9C1"/>
    <w:rPr>
      <w:rFonts w:ascii="Times New Roman" w:eastAsia="Times New Roman" w:hAnsi="Times New Roman" w:cs="Times New Roman"/>
      <w:sz w:val="24"/>
      <w:szCs w:val="20"/>
      <w:u w:val="single"/>
    </w:rPr>
  </w:style>
  <w:style w:type="character" w:styleId="Hyperlink">
    <w:name w:val="Hyperlink"/>
    <w:unhideWhenUsed/>
    <w:rsid w:val="00D209C1"/>
    <w:rPr>
      <w:color w:val="0000FF"/>
      <w:u w:val="single"/>
    </w:rPr>
  </w:style>
  <w:style w:type="paragraph" w:styleId="FootnoteText">
    <w:name w:val="footnote text"/>
    <w:basedOn w:val="Normal"/>
    <w:link w:val="FootnoteTextChar"/>
    <w:semiHidden/>
    <w:unhideWhenUsed/>
    <w:rsid w:val="00D209C1"/>
    <w:rPr>
      <w:sz w:val="20"/>
    </w:rPr>
  </w:style>
  <w:style w:type="character" w:customStyle="1" w:styleId="FootnoteTextChar">
    <w:name w:val="Footnote Text Char"/>
    <w:basedOn w:val="DefaultParagraphFont"/>
    <w:link w:val="FootnoteText"/>
    <w:semiHidden/>
    <w:rsid w:val="00D209C1"/>
    <w:rPr>
      <w:rFonts w:ascii="Times New Roman" w:eastAsia="Times New Roman" w:hAnsi="Times New Roman" w:cs="Times New Roman"/>
      <w:sz w:val="20"/>
      <w:szCs w:val="20"/>
    </w:rPr>
  </w:style>
  <w:style w:type="paragraph" w:styleId="Footer">
    <w:name w:val="footer"/>
    <w:basedOn w:val="Normal"/>
    <w:link w:val="FooterChar"/>
    <w:unhideWhenUsed/>
    <w:rsid w:val="00D209C1"/>
    <w:pPr>
      <w:tabs>
        <w:tab w:val="center" w:pos="4320"/>
        <w:tab w:val="right" w:pos="8640"/>
      </w:tabs>
    </w:pPr>
  </w:style>
  <w:style w:type="character" w:customStyle="1" w:styleId="FooterChar">
    <w:name w:val="Footer Char"/>
    <w:basedOn w:val="DefaultParagraphFont"/>
    <w:link w:val="Footer"/>
    <w:rsid w:val="00D209C1"/>
    <w:rPr>
      <w:rFonts w:ascii="Times New Roman" w:eastAsia="Times New Roman" w:hAnsi="Times New Roman" w:cs="Times New Roman"/>
      <w:sz w:val="24"/>
      <w:szCs w:val="20"/>
    </w:rPr>
  </w:style>
  <w:style w:type="paragraph" w:styleId="Title">
    <w:name w:val="Title"/>
    <w:basedOn w:val="Normal"/>
    <w:link w:val="TitleChar"/>
    <w:qFormat/>
    <w:rsid w:val="00D209C1"/>
    <w:pPr>
      <w:jc w:val="center"/>
    </w:pPr>
    <w:rPr>
      <w:b/>
    </w:rPr>
  </w:style>
  <w:style w:type="character" w:customStyle="1" w:styleId="TitleChar">
    <w:name w:val="Title Char"/>
    <w:basedOn w:val="DefaultParagraphFont"/>
    <w:link w:val="Title"/>
    <w:rsid w:val="00D209C1"/>
    <w:rPr>
      <w:rFonts w:ascii="Times New Roman" w:eastAsia="Times New Roman" w:hAnsi="Times New Roman" w:cs="Times New Roman"/>
      <w:b/>
      <w:sz w:val="24"/>
      <w:szCs w:val="20"/>
    </w:rPr>
  </w:style>
  <w:style w:type="paragraph" w:styleId="Subtitle">
    <w:name w:val="Subtitle"/>
    <w:basedOn w:val="Normal"/>
    <w:link w:val="SubtitleChar"/>
    <w:qFormat/>
    <w:rsid w:val="00D209C1"/>
    <w:pPr>
      <w:jc w:val="center"/>
    </w:pPr>
    <w:rPr>
      <w:b/>
    </w:rPr>
  </w:style>
  <w:style w:type="character" w:customStyle="1" w:styleId="SubtitleChar">
    <w:name w:val="Subtitle Char"/>
    <w:basedOn w:val="DefaultParagraphFont"/>
    <w:link w:val="Subtitle"/>
    <w:rsid w:val="00D209C1"/>
    <w:rPr>
      <w:rFonts w:ascii="Times New Roman" w:eastAsia="Times New Roman" w:hAnsi="Times New Roman" w:cs="Times New Roman"/>
      <w:b/>
      <w:sz w:val="24"/>
      <w:szCs w:val="20"/>
    </w:rPr>
  </w:style>
  <w:style w:type="paragraph" w:styleId="NoSpacing">
    <w:name w:val="No Spacing"/>
    <w:uiPriority w:val="1"/>
    <w:qFormat/>
    <w:rsid w:val="00D209C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209C1"/>
    <w:pPr>
      <w:ind w:left="720"/>
    </w:pPr>
  </w:style>
  <w:style w:type="character" w:styleId="FootnoteReference">
    <w:name w:val="footnote reference"/>
    <w:semiHidden/>
    <w:unhideWhenUsed/>
    <w:rsid w:val="00D209C1"/>
    <w:rPr>
      <w:vertAlign w:val="superscript"/>
    </w:rPr>
  </w:style>
  <w:style w:type="character" w:styleId="CommentReference">
    <w:name w:val="annotation reference"/>
    <w:basedOn w:val="DefaultParagraphFont"/>
    <w:uiPriority w:val="99"/>
    <w:semiHidden/>
    <w:unhideWhenUsed/>
    <w:rsid w:val="008F4982"/>
    <w:rPr>
      <w:sz w:val="16"/>
      <w:szCs w:val="16"/>
    </w:rPr>
  </w:style>
  <w:style w:type="paragraph" w:styleId="CommentText">
    <w:name w:val="annotation text"/>
    <w:basedOn w:val="Normal"/>
    <w:link w:val="CommentTextChar"/>
    <w:uiPriority w:val="99"/>
    <w:unhideWhenUsed/>
    <w:rsid w:val="008F4982"/>
    <w:rPr>
      <w:sz w:val="20"/>
    </w:rPr>
  </w:style>
  <w:style w:type="character" w:customStyle="1" w:styleId="CommentTextChar">
    <w:name w:val="Comment Text Char"/>
    <w:basedOn w:val="DefaultParagraphFont"/>
    <w:link w:val="CommentText"/>
    <w:uiPriority w:val="99"/>
    <w:rsid w:val="008F49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4982"/>
    <w:rPr>
      <w:b/>
      <w:bCs/>
    </w:rPr>
  </w:style>
  <w:style w:type="character" w:customStyle="1" w:styleId="CommentSubjectChar">
    <w:name w:val="Comment Subject Char"/>
    <w:basedOn w:val="CommentTextChar"/>
    <w:link w:val="CommentSubject"/>
    <w:uiPriority w:val="99"/>
    <w:semiHidden/>
    <w:rsid w:val="008F4982"/>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7006D5"/>
    <w:pPr>
      <w:widowControl w:val="0"/>
      <w:ind w:left="120"/>
    </w:pPr>
    <w:rPr>
      <w:rFonts w:cstheme="minorBidi"/>
      <w:szCs w:val="24"/>
    </w:rPr>
  </w:style>
  <w:style w:type="character" w:customStyle="1" w:styleId="BodyTextChar">
    <w:name w:val="Body Text Char"/>
    <w:basedOn w:val="DefaultParagraphFont"/>
    <w:link w:val="BodyText"/>
    <w:uiPriority w:val="1"/>
    <w:rsid w:val="007006D5"/>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7006D5"/>
    <w:rPr>
      <w:color w:val="605E5C"/>
      <w:shd w:val="clear" w:color="auto" w:fill="E1DFDD"/>
    </w:rPr>
  </w:style>
  <w:style w:type="character" w:customStyle="1" w:styleId="normalchar">
    <w:name w:val="normal__char"/>
    <w:basedOn w:val="DefaultParagraphFont"/>
    <w:rsid w:val="004D3D6F"/>
  </w:style>
  <w:style w:type="paragraph" w:styleId="Header">
    <w:name w:val="header"/>
    <w:basedOn w:val="Normal"/>
    <w:link w:val="HeaderChar"/>
    <w:uiPriority w:val="99"/>
    <w:unhideWhenUsed/>
    <w:rsid w:val="004D3D6F"/>
    <w:pPr>
      <w:tabs>
        <w:tab w:val="center" w:pos="4680"/>
        <w:tab w:val="right" w:pos="9360"/>
      </w:tabs>
    </w:pPr>
  </w:style>
  <w:style w:type="character" w:customStyle="1" w:styleId="HeaderChar">
    <w:name w:val="Header Char"/>
    <w:basedOn w:val="DefaultParagraphFont"/>
    <w:link w:val="Header"/>
    <w:uiPriority w:val="99"/>
    <w:rsid w:val="004D3D6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4082">
      <w:bodyDiv w:val="1"/>
      <w:marLeft w:val="0"/>
      <w:marRight w:val="0"/>
      <w:marTop w:val="0"/>
      <w:marBottom w:val="0"/>
      <w:divBdr>
        <w:top w:val="none" w:sz="0" w:space="0" w:color="auto"/>
        <w:left w:val="none" w:sz="0" w:space="0" w:color="auto"/>
        <w:bottom w:val="none" w:sz="0" w:space="0" w:color="auto"/>
        <w:right w:val="none" w:sz="0" w:space="0" w:color="auto"/>
      </w:divBdr>
    </w:div>
    <w:div w:id="1472820479">
      <w:bodyDiv w:val="1"/>
      <w:marLeft w:val="0"/>
      <w:marRight w:val="0"/>
      <w:marTop w:val="0"/>
      <w:marBottom w:val="0"/>
      <w:divBdr>
        <w:top w:val="none" w:sz="0" w:space="0" w:color="auto"/>
        <w:left w:val="none" w:sz="0" w:space="0" w:color="auto"/>
        <w:bottom w:val="none" w:sz="0" w:space="0" w:color="auto"/>
        <w:right w:val="none" w:sz="0" w:space="0" w:color="auto"/>
      </w:divBdr>
    </w:div>
    <w:div w:id="2113277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dunderdal@pa.gov" TargetMode="External"/><Relationship Id="rId13" Type="http://schemas.openxmlformats.org/officeDocument/2006/relationships/hyperlink" Target="mailto:dzambito@coz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nase@coze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rard@paoc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gray@pa.gov" TargetMode="External"/><Relationship Id="rId4" Type="http://schemas.openxmlformats.org/officeDocument/2006/relationships/settings" Target="settings.xml"/><Relationship Id="rId9" Type="http://schemas.openxmlformats.org/officeDocument/2006/relationships/hyperlink" Target="mailto:teresa.harrold@amwater.com" TargetMode="External"/><Relationship Id="rId14" Type="http://schemas.openxmlformats.org/officeDocument/2006/relationships/hyperlink" Target="mailto:clogue@logueuri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5CCA-AAB7-400D-932A-B06DD2DD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1425</Words>
  <Characters>8125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Swarner, Mary</cp:lastModifiedBy>
  <cp:revision>2</cp:revision>
  <cp:lastPrinted>2024-01-24T18:42:00Z</cp:lastPrinted>
  <dcterms:created xsi:type="dcterms:W3CDTF">2024-03-14T15:29:00Z</dcterms:created>
  <dcterms:modified xsi:type="dcterms:W3CDTF">2024-03-14T15:29:00Z</dcterms:modified>
</cp:coreProperties>
</file>