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BB3D1E">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BB3D1E">
          <w:footerReference w:type="even" r:id="rId13"/>
          <w:footerReference w:type="default" r:id="rId14"/>
          <w:type w:val="continuous"/>
          <w:pgSz w:w="12240" w:h="15840"/>
          <w:pgMar w:top="504" w:right="1440" w:bottom="1440" w:left="1440" w:header="720" w:footer="720" w:gutter="0"/>
          <w:cols w:space="720"/>
          <w:titlePg/>
        </w:sectPr>
      </w:pPr>
    </w:p>
    <w:p w14:paraId="63DF50F9" w14:textId="77777777" w:rsidR="00905DF9" w:rsidRPr="00A90CAC" w:rsidRDefault="00905DF9" w:rsidP="00905DF9">
      <w:pPr>
        <w:jc w:val="center"/>
        <w:rPr>
          <w:sz w:val="24"/>
        </w:rPr>
      </w:pPr>
      <w:r>
        <w:rPr>
          <w:sz w:val="24"/>
        </w:rPr>
        <w:t>February 8, 2024</w:t>
      </w:r>
    </w:p>
    <w:p w14:paraId="09324012" w14:textId="77777777" w:rsidR="00905DF9" w:rsidRPr="00A90CAC" w:rsidRDefault="00905DF9" w:rsidP="00905DF9">
      <w:pPr>
        <w:rPr>
          <w:sz w:val="12"/>
          <w:szCs w:val="12"/>
        </w:rPr>
      </w:pPr>
    </w:p>
    <w:p w14:paraId="5C4BDEB2" w14:textId="7316AEEE" w:rsidR="00905DF9" w:rsidRDefault="00F82991" w:rsidP="00905DF9">
      <w:pPr>
        <w:rPr>
          <w:sz w:val="24"/>
        </w:rPr>
      </w:pPr>
      <w:r>
        <w:rPr>
          <w:sz w:val="24"/>
        </w:rPr>
        <w:t>Gina McCarthy</w:t>
      </w:r>
    </w:p>
    <w:p w14:paraId="1F9D0ACE" w14:textId="76748A42" w:rsidR="00F82991" w:rsidRDefault="00F82991" w:rsidP="00905DF9">
      <w:pPr>
        <w:rPr>
          <w:sz w:val="24"/>
        </w:rPr>
      </w:pPr>
      <w:r>
        <w:rPr>
          <w:sz w:val="24"/>
        </w:rPr>
        <w:t>401 Corner Street</w:t>
      </w:r>
    </w:p>
    <w:p w14:paraId="59AA63F0" w14:textId="6E1E829C" w:rsidR="00F82991" w:rsidRDefault="00F82991" w:rsidP="00905DF9">
      <w:pPr>
        <w:rPr>
          <w:sz w:val="24"/>
        </w:rPr>
      </w:pPr>
      <w:r>
        <w:rPr>
          <w:sz w:val="24"/>
        </w:rPr>
        <w:t>Dunmore, PA  18512</w:t>
      </w:r>
    </w:p>
    <w:p w14:paraId="65AB4228" w14:textId="77777777" w:rsidR="00905DF9" w:rsidRPr="00A90CAC" w:rsidRDefault="00905DF9" w:rsidP="00905DF9">
      <w:pPr>
        <w:rPr>
          <w:sz w:val="12"/>
          <w:szCs w:val="12"/>
        </w:rPr>
      </w:pPr>
    </w:p>
    <w:p w14:paraId="7615DD28" w14:textId="77777777" w:rsidR="00905DF9" w:rsidRPr="00A90CAC" w:rsidRDefault="00905DF9" w:rsidP="00905DF9">
      <w:pPr>
        <w:rPr>
          <w:sz w:val="12"/>
          <w:szCs w:val="12"/>
        </w:rPr>
      </w:pPr>
    </w:p>
    <w:p w14:paraId="3FD24590" w14:textId="6A6D79CC" w:rsidR="00905DF9" w:rsidRPr="00A90CAC" w:rsidRDefault="00905DF9" w:rsidP="00905DF9">
      <w:pPr>
        <w:rPr>
          <w:sz w:val="22"/>
          <w:szCs w:val="22"/>
        </w:rPr>
      </w:pPr>
      <w:r w:rsidRPr="00A90CAC">
        <w:rPr>
          <w:sz w:val="22"/>
          <w:szCs w:val="22"/>
        </w:rPr>
        <w:t xml:space="preserve">Dear </w:t>
      </w:r>
      <w:r w:rsidR="001A3E66">
        <w:rPr>
          <w:sz w:val="22"/>
          <w:szCs w:val="22"/>
        </w:rPr>
        <w:t>Madam:</w:t>
      </w:r>
    </w:p>
    <w:p w14:paraId="00C36CE0" w14:textId="77777777" w:rsidR="00905DF9" w:rsidRPr="00A90CAC" w:rsidRDefault="00905DF9" w:rsidP="00905DF9">
      <w:pPr>
        <w:rPr>
          <w:sz w:val="12"/>
          <w:szCs w:val="12"/>
        </w:rPr>
      </w:pPr>
    </w:p>
    <w:p w14:paraId="64346C65" w14:textId="77777777" w:rsidR="00905DF9" w:rsidRPr="00A90CAC" w:rsidRDefault="00905DF9" w:rsidP="00905DF9">
      <w:pPr>
        <w:rPr>
          <w:sz w:val="22"/>
          <w:szCs w:val="22"/>
        </w:rPr>
      </w:pPr>
      <w:r w:rsidRPr="00A90CAC">
        <w:rPr>
          <w:sz w:val="22"/>
          <w:szCs w:val="22"/>
        </w:rPr>
        <w:t xml:space="preserve">The rate increase proposal of </w:t>
      </w:r>
      <w:r>
        <w:rPr>
          <w:sz w:val="22"/>
          <w:szCs w:val="22"/>
        </w:rPr>
        <w:t>Pennsylvania American Water Company</w:t>
      </w:r>
      <w:r w:rsidRPr="00A90CAC">
        <w:rPr>
          <w:sz w:val="22"/>
          <w:szCs w:val="22"/>
        </w:rPr>
        <w:t xml:space="preserve"> at Docket Numbers R-</w:t>
      </w:r>
      <w:r>
        <w:rPr>
          <w:sz w:val="22"/>
          <w:szCs w:val="22"/>
        </w:rPr>
        <w:t>2023-3043189</w:t>
      </w:r>
      <w:r w:rsidRPr="00A90CAC">
        <w:rPr>
          <w:sz w:val="22"/>
          <w:szCs w:val="22"/>
        </w:rPr>
        <w:t xml:space="preserve"> (Water) and R-</w:t>
      </w:r>
      <w:r>
        <w:rPr>
          <w:sz w:val="22"/>
          <w:szCs w:val="22"/>
        </w:rPr>
        <w:t>2023-3043190</w:t>
      </w:r>
      <w:r w:rsidRPr="00A90CAC">
        <w:rPr>
          <w:sz w:val="22"/>
          <w:szCs w:val="22"/>
        </w:rPr>
        <w:t xml:space="preserve"> (Wastewater) is now pending before the Commission.  We received your formal rate complaint but there </w:t>
      </w:r>
      <w:r>
        <w:rPr>
          <w:sz w:val="22"/>
          <w:szCs w:val="22"/>
        </w:rPr>
        <w:t>is a</w:t>
      </w:r>
      <w:r w:rsidRPr="00A90CAC">
        <w:rPr>
          <w:sz w:val="22"/>
          <w:szCs w:val="22"/>
        </w:rPr>
        <w:t xml:space="preserve"> deficienc</w:t>
      </w:r>
      <w:r>
        <w:rPr>
          <w:sz w:val="22"/>
          <w:szCs w:val="22"/>
        </w:rPr>
        <w:t>y</w:t>
      </w:r>
      <w:r w:rsidRPr="00A90CAC">
        <w:rPr>
          <w:sz w:val="22"/>
          <w:szCs w:val="22"/>
        </w:rPr>
        <w:t xml:space="preserve"> to be corrected before we can docket and process it.  The deficienc</w:t>
      </w:r>
      <w:r>
        <w:rPr>
          <w:sz w:val="22"/>
          <w:szCs w:val="22"/>
        </w:rPr>
        <w:t>y</w:t>
      </w:r>
      <w:r w:rsidRPr="00A90CAC">
        <w:rPr>
          <w:sz w:val="22"/>
          <w:szCs w:val="22"/>
        </w:rPr>
        <w:t xml:space="preserve"> </w:t>
      </w:r>
      <w:r>
        <w:rPr>
          <w:sz w:val="22"/>
          <w:szCs w:val="22"/>
        </w:rPr>
        <w:t>is</w:t>
      </w:r>
      <w:r w:rsidRPr="00A90CAC">
        <w:rPr>
          <w:sz w:val="22"/>
          <w:szCs w:val="22"/>
        </w:rPr>
        <w:t xml:space="preserve">: </w:t>
      </w:r>
    </w:p>
    <w:p w14:paraId="4A2F402D" w14:textId="77777777" w:rsidR="00905DF9" w:rsidRPr="00A90CAC" w:rsidRDefault="00905DF9" w:rsidP="00905DF9">
      <w:pPr>
        <w:rPr>
          <w:sz w:val="12"/>
          <w:szCs w:val="12"/>
        </w:rPr>
      </w:pPr>
    </w:p>
    <w:p w14:paraId="11BDC95B" w14:textId="77777777" w:rsidR="00905DF9" w:rsidRPr="009B3223" w:rsidRDefault="00905DF9" w:rsidP="00905DF9">
      <w:pPr>
        <w:rPr>
          <w:sz w:val="22"/>
          <w:szCs w:val="22"/>
        </w:rPr>
      </w:pPr>
      <w:r w:rsidRPr="009B3223">
        <w:rPr>
          <w:color w:val="000000"/>
          <w:sz w:val="22"/>
          <w:szCs w:val="22"/>
        </w:rPr>
        <w:t xml:space="preserve">Your </w:t>
      </w:r>
      <w:r>
        <w:rPr>
          <w:color w:val="000000"/>
          <w:sz w:val="22"/>
          <w:szCs w:val="22"/>
        </w:rPr>
        <w:t>formal complaint</w:t>
      </w:r>
      <w:r w:rsidRPr="009B3223">
        <w:rPr>
          <w:color w:val="000000"/>
          <w:sz w:val="22"/>
          <w:szCs w:val="22"/>
        </w:rPr>
        <w:t xml:space="preserve"> form that is listed as revised in </w:t>
      </w:r>
      <w:r>
        <w:rPr>
          <w:color w:val="000000"/>
          <w:sz w:val="22"/>
          <w:szCs w:val="22"/>
        </w:rPr>
        <w:t>April 2023</w:t>
      </w:r>
      <w:r w:rsidRPr="009B3223">
        <w:rPr>
          <w:color w:val="000000"/>
          <w:sz w:val="22"/>
          <w:szCs w:val="22"/>
        </w:rPr>
        <w:t>, is now considered as outdated.</w:t>
      </w:r>
      <w:r>
        <w:rPr>
          <w:color w:val="000000"/>
          <w:sz w:val="22"/>
          <w:szCs w:val="22"/>
        </w:rPr>
        <w:t xml:space="preserve"> </w:t>
      </w:r>
      <w:r w:rsidRPr="009B3223">
        <w:rPr>
          <w:color w:val="000000"/>
          <w:sz w:val="22"/>
          <w:szCs w:val="22"/>
        </w:rPr>
        <w:t xml:space="preserve"> Please complete and file the entire enclosed updated </w:t>
      </w:r>
      <w:r>
        <w:rPr>
          <w:sz w:val="22"/>
          <w:szCs w:val="22"/>
        </w:rPr>
        <w:t>Formal Complaint to Proposed Rate Increase</w:t>
      </w:r>
      <w:r w:rsidRPr="009B3223">
        <w:rPr>
          <w:color w:val="000000"/>
          <w:sz w:val="22"/>
          <w:szCs w:val="22"/>
        </w:rPr>
        <w:t>.</w:t>
      </w:r>
    </w:p>
    <w:p w14:paraId="38E254B7" w14:textId="77777777" w:rsidR="00905DF9" w:rsidRPr="00A90CAC" w:rsidRDefault="00905DF9" w:rsidP="00905DF9">
      <w:pPr>
        <w:rPr>
          <w:sz w:val="12"/>
          <w:szCs w:val="12"/>
        </w:rPr>
      </w:pPr>
    </w:p>
    <w:p w14:paraId="5DD8D435" w14:textId="77777777" w:rsidR="00905DF9" w:rsidRPr="00A90CAC" w:rsidRDefault="00905DF9" w:rsidP="00905DF9">
      <w:pPr>
        <w:rPr>
          <w:sz w:val="22"/>
          <w:szCs w:val="22"/>
        </w:rPr>
      </w:pPr>
      <w:r w:rsidRPr="00A90CAC">
        <w:rPr>
          <w:sz w:val="22"/>
          <w:szCs w:val="22"/>
        </w:rPr>
        <w:t xml:space="preserve">Before proceeding with a formal rate complaint, please know that this process is litigation before the Commission.  When the rate complaint is received by my office and processed, it will be served upon the company and sent to the Administrative Law Judge presiding over the case. You will be given the opportunity to send and receive interrogatories among the parties, appear at the evidentiary hearings, and provide testimony under oath regarding the issues you have raised and why the proposed rate increase should be denied.  We emphasize to the public that the filing of a formal rate complaint will make you an active party in the rate case, and to save a copy of all documents you send and receive during the litigation, especially those sent by the Administrative Law Judge presiding over the rate case.  Also, during the litigation, it is your responsibility to provide the Commission with any changes to your address or to where you want documents served to you. </w:t>
      </w:r>
    </w:p>
    <w:p w14:paraId="6251EC63" w14:textId="77777777" w:rsidR="00905DF9" w:rsidRPr="00A90CAC" w:rsidRDefault="00905DF9" w:rsidP="00905DF9">
      <w:pPr>
        <w:rPr>
          <w:sz w:val="12"/>
          <w:szCs w:val="12"/>
        </w:rPr>
      </w:pPr>
    </w:p>
    <w:p w14:paraId="7BE68AD2" w14:textId="77777777" w:rsidR="00905DF9" w:rsidRPr="00A90CAC" w:rsidRDefault="00905DF9" w:rsidP="00905DF9">
      <w:pPr>
        <w:rPr>
          <w:sz w:val="22"/>
          <w:szCs w:val="22"/>
        </w:rPr>
      </w:pPr>
      <w:r w:rsidRPr="00A90CAC">
        <w:rPr>
          <w:sz w:val="22"/>
          <w:szCs w:val="22"/>
        </w:rPr>
        <w:t>However, many customers choose not to become active parties.  Therefore, the Commission also offers alternatives to this option.  Instead, a customer can file official comments on the record without becoming an active party by submitting a “Comment on Proposed Rate Increase” form. This form is also available on our website. Comments are reviewed and considered by the Judge and the Commission without making you an active litigant in the case.</w:t>
      </w:r>
    </w:p>
    <w:p w14:paraId="566899F7" w14:textId="77777777" w:rsidR="00905DF9" w:rsidRPr="00A90CAC" w:rsidRDefault="00905DF9" w:rsidP="00905DF9">
      <w:pPr>
        <w:rPr>
          <w:sz w:val="22"/>
          <w:szCs w:val="22"/>
        </w:rPr>
      </w:pPr>
    </w:p>
    <w:p w14:paraId="05E7865B" w14:textId="77777777" w:rsidR="00905DF9" w:rsidRPr="00A90CAC" w:rsidRDefault="00905DF9" w:rsidP="00905DF9">
      <w:pPr>
        <w:rPr>
          <w:sz w:val="22"/>
          <w:szCs w:val="22"/>
        </w:rPr>
      </w:pPr>
      <w:r w:rsidRPr="00A90CAC">
        <w:rPr>
          <w:sz w:val="22"/>
          <w:szCs w:val="22"/>
        </w:rPr>
        <w:t>Another alternative is to attend a Public Input Hearing.  The Commission will conduct Public Input Hearings throughout the geographic regions affected by the rate increase proposal. These hearings will be heavily advertised in newspapers and other publications to allow the public to attend any one of the hearings and place their comments and concerns on the record.  The public may appear and provide oral testimony opposing the rate increase on the record to the presiding Administrative Law Judge.  This hearing is transcribed by a court reporter, and again it provides customers with the option to make their voices heard by the Commission without becoming an active party.</w:t>
      </w:r>
    </w:p>
    <w:p w14:paraId="1E19FA92" w14:textId="77777777" w:rsidR="00905DF9" w:rsidRPr="00A90CAC" w:rsidRDefault="00905DF9" w:rsidP="00905DF9">
      <w:pPr>
        <w:rPr>
          <w:sz w:val="22"/>
          <w:szCs w:val="22"/>
        </w:rPr>
      </w:pPr>
    </w:p>
    <w:p w14:paraId="65AE7EA4" w14:textId="77777777" w:rsidR="00905DF9" w:rsidRPr="00A90CAC" w:rsidRDefault="00905DF9" w:rsidP="00905DF9">
      <w:pPr>
        <w:rPr>
          <w:sz w:val="22"/>
          <w:szCs w:val="22"/>
        </w:rPr>
      </w:pPr>
      <w:r w:rsidRPr="00A90CAC">
        <w:rPr>
          <w:sz w:val="22"/>
          <w:szCs w:val="22"/>
        </w:rPr>
        <w:t>You will also find on the Commission’s website a publication we provide to the public explaining the rate case process called “A Guide to Utility Ratemaking.”  It is free to the public and can be downloaded or printed.</w:t>
      </w:r>
    </w:p>
    <w:p w14:paraId="723D3DFB" w14:textId="77777777" w:rsidR="00905DF9" w:rsidRPr="00A90CAC" w:rsidRDefault="00905DF9" w:rsidP="00905DF9">
      <w:pPr>
        <w:rPr>
          <w:sz w:val="24"/>
        </w:rPr>
      </w:pPr>
    </w:p>
    <w:p w14:paraId="327FAF4F" w14:textId="77777777" w:rsidR="00905DF9" w:rsidRPr="00A90CAC" w:rsidRDefault="00905DF9" w:rsidP="00905DF9">
      <w:pPr>
        <w:rPr>
          <w:sz w:val="24"/>
        </w:rPr>
      </w:pPr>
      <w:r w:rsidRPr="00A90CAC">
        <w:rPr>
          <w:noProof/>
          <w:sz w:val="24"/>
        </w:rPr>
        <w:drawing>
          <wp:anchor distT="0" distB="0" distL="114300" distR="114300" simplePos="0" relativeHeight="251659264" behindDoc="1" locked="0" layoutInCell="1" allowOverlap="1" wp14:anchorId="03B8DE64" wp14:editId="66385919">
            <wp:simplePos x="0" y="0"/>
            <wp:positionH relativeFrom="column">
              <wp:posOffset>1920240</wp:posOffset>
            </wp:positionH>
            <wp:positionV relativeFrom="paragraph">
              <wp:posOffset>91440</wp:posOffset>
            </wp:positionV>
            <wp:extent cx="2200275" cy="838200"/>
            <wp:effectExtent l="0" t="0" r="0" b="0"/>
            <wp:wrapNone/>
            <wp:docPr id="2107384172" name="Picture 210738417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84172" name="Picture 2107384172"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Pr="00A90CAC">
        <w:rPr>
          <w:sz w:val="24"/>
        </w:rPr>
        <w:tab/>
      </w:r>
      <w:r w:rsidRPr="00A90CAC">
        <w:rPr>
          <w:sz w:val="24"/>
        </w:rPr>
        <w:tab/>
      </w:r>
      <w:r w:rsidRPr="00A90CAC">
        <w:rPr>
          <w:sz w:val="24"/>
        </w:rPr>
        <w:tab/>
      </w:r>
      <w:r w:rsidRPr="00A90CAC">
        <w:rPr>
          <w:sz w:val="24"/>
        </w:rPr>
        <w:tab/>
      </w:r>
      <w:r w:rsidRPr="00A90CAC">
        <w:rPr>
          <w:sz w:val="24"/>
        </w:rPr>
        <w:tab/>
        <w:t xml:space="preserve">Sincerely, </w:t>
      </w:r>
    </w:p>
    <w:p w14:paraId="67753D8B" w14:textId="77777777" w:rsidR="00905DF9" w:rsidRPr="00A90CAC" w:rsidRDefault="00905DF9" w:rsidP="00905DF9">
      <w:pPr>
        <w:rPr>
          <w:sz w:val="24"/>
        </w:rPr>
      </w:pPr>
    </w:p>
    <w:p w14:paraId="17C6E127" w14:textId="77777777" w:rsidR="00905DF9" w:rsidRPr="00A90CAC" w:rsidRDefault="00905DF9" w:rsidP="00905DF9">
      <w:pPr>
        <w:rPr>
          <w:sz w:val="24"/>
        </w:rPr>
      </w:pPr>
    </w:p>
    <w:p w14:paraId="43B85EF9" w14:textId="77777777" w:rsidR="00905DF9" w:rsidRPr="00A90CAC" w:rsidRDefault="00905DF9" w:rsidP="00905DF9">
      <w:pPr>
        <w:rPr>
          <w:sz w:val="24"/>
        </w:rPr>
      </w:pPr>
    </w:p>
    <w:p w14:paraId="13204D14" w14:textId="77777777" w:rsidR="00905DF9" w:rsidRPr="00A90CAC" w:rsidRDefault="00905DF9" w:rsidP="00905DF9">
      <w:pPr>
        <w:rPr>
          <w:sz w:val="24"/>
        </w:rPr>
      </w:pPr>
      <w:r w:rsidRPr="00A90CAC">
        <w:rPr>
          <w:sz w:val="24"/>
        </w:rPr>
        <w:tab/>
      </w:r>
      <w:r w:rsidRPr="00A90CAC">
        <w:rPr>
          <w:sz w:val="24"/>
        </w:rPr>
        <w:tab/>
      </w:r>
      <w:r w:rsidRPr="00A90CAC">
        <w:rPr>
          <w:sz w:val="24"/>
        </w:rPr>
        <w:tab/>
      </w:r>
      <w:r w:rsidRPr="00A90CAC">
        <w:rPr>
          <w:sz w:val="24"/>
        </w:rPr>
        <w:tab/>
      </w:r>
      <w:r w:rsidRPr="00A90CAC">
        <w:rPr>
          <w:sz w:val="24"/>
        </w:rPr>
        <w:tab/>
        <w:t>Rosemary Chiavetta</w:t>
      </w:r>
    </w:p>
    <w:p w14:paraId="5939AAD7" w14:textId="77777777" w:rsidR="00905DF9" w:rsidRPr="00A90CAC" w:rsidRDefault="00905DF9" w:rsidP="00905DF9">
      <w:pPr>
        <w:rPr>
          <w:sz w:val="24"/>
        </w:rPr>
      </w:pPr>
      <w:r w:rsidRPr="00A90CAC">
        <w:rPr>
          <w:sz w:val="24"/>
        </w:rPr>
        <w:tab/>
      </w:r>
      <w:r w:rsidRPr="00A90CAC">
        <w:rPr>
          <w:sz w:val="24"/>
        </w:rPr>
        <w:tab/>
      </w:r>
      <w:r w:rsidRPr="00A90CAC">
        <w:rPr>
          <w:sz w:val="24"/>
        </w:rPr>
        <w:tab/>
      </w:r>
      <w:r w:rsidRPr="00A90CAC">
        <w:rPr>
          <w:sz w:val="24"/>
        </w:rPr>
        <w:tab/>
      </w:r>
      <w:r w:rsidRPr="00A90CAC">
        <w:rPr>
          <w:sz w:val="24"/>
        </w:rPr>
        <w:tab/>
        <w:t>Secretary of the Commission</w:t>
      </w:r>
    </w:p>
    <w:p w14:paraId="145BEB40" w14:textId="77777777" w:rsidR="00905DF9" w:rsidRDefault="00905DF9" w:rsidP="00905DF9">
      <w:pPr>
        <w:rPr>
          <w:sz w:val="24"/>
        </w:rPr>
      </w:pPr>
      <w:r>
        <w:rPr>
          <w:sz w:val="24"/>
        </w:rPr>
        <w:t>Enclosure</w:t>
      </w:r>
    </w:p>
    <w:p w14:paraId="255CB45E" w14:textId="77777777" w:rsidR="00905DF9" w:rsidRDefault="00905DF9" w:rsidP="00905DF9">
      <w:pPr>
        <w:rPr>
          <w:sz w:val="24"/>
        </w:rPr>
      </w:pPr>
    </w:p>
    <w:p w14:paraId="7E8DB2F2" w14:textId="0188A879" w:rsidR="00F84C26" w:rsidRPr="00BC0EF4" w:rsidRDefault="00905DF9" w:rsidP="00905DF9">
      <w:pPr>
        <w:rPr>
          <w:sz w:val="24"/>
        </w:rPr>
      </w:pPr>
      <w:r w:rsidRPr="00A90CAC">
        <w:rPr>
          <w:sz w:val="24"/>
        </w:rPr>
        <w:t>RC:</w:t>
      </w:r>
      <w:r>
        <w:rPr>
          <w:sz w:val="24"/>
        </w:rPr>
        <w:t>AEL</w:t>
      </w:r>
    </w:p>
    <w:sectPr w:rsidR="00F84C26" w:rsidRPr="00BC0EF4" w:rsidSect="00905D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0E78" w14:textId="77777777" w:rsidR="00BB3D1E" w:rsidRDefault="00BB3D1E">
      <w:r>
        <w:separator/>
      </w:r>
    </w:p>
  </w:endnote>
  <w:endnote w:type="continuationSeparator" w:id="0">
    <w:p w14:paraId="60667BF9" w14:textId="77777777" w:rsidR="00BB3D1E" w:rsidRDefault="00BB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E3C5" w14:textId="77777777" w:rsidR="00BB3D1E" w:rsidRDefault="00BB3D1E">
      <w:r>
        <w:separator/>
      </w:r>
    </w:p>
  </w:footnote>
  <w:footnote w:type="continuationSeparator" w:id="0">
    <w:p w14:paraId="695E63A4" w14:textId="77777777" w:rsidR="00BB3D1E" w:rsidRDefault="00BB3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3E66"/>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C64A4"/>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91"/>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2024-02-08T14:16:00Z</dcterms:created>
  <dcterms:modified xsi:type="dcterms:W3CDTF">2024-02-08T14:17:00Z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