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D5D7"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31CD707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3160A3DB" w14:textId="77777777" w:rsidR="00FA6AC0" w:rsidRDefault="00FA6AC0" w:rsidP="00E4054A">
      <w:pPr>
        <w:tabs>
          <w:tab w:val="left" w:pos="-720"/>
        </w:tabs>
        <w:suppressAutoHyphens/>
        <w:rPr>
          <w:rFonts w:ascii="Times New Roman" w:hAnsi="Times New Roman" w:cs="Times New Roman"/>
          <w:spacing w:val="-3"/>
        </w:rPr>
      </w:pPr>
    </w:p>
    <w:p w14:paraId="637AD07D" w14:textId="77777777" w:rsidR="00CE52C1" w:rsidRDefault="00CE52C1" w:rsidP="00E4054A">
      <w:pPr>
        <w:tabs>
          <w:tab w:val="left" w:pos="-720"/>
        </w:tabs>
        <w:suppressAutoHyphens/>
        <w:rPr>
          <w:rFonts w:ascii="Times New Roman" w:hAnsi="Times New Roman" w:cs="Times New Roman"/>
          <w:spacing w:val="-3"/>
        </w:rPr>
      </w:pPr>
    </w:p>
    <w:p w14:paraId="232E3779" w14:textId="77777777" w:rsidR="00430402" w:rsidRDefault="00430402" w:rsidP="00E4054A">
      <w:pPr>
        <w:tabs>
          <w:tab w:val="left" w:pos="-720"/>
        </w:tabs>
        <w:suppressAutoHyphens/>
        <w:rPr>
          <w:rFonts w:ascii="Times New Roman" w:hAnsi="Times New Roman" w:cs="Times New Roman"/>
          <w:spacing w:val="-3"/>
        </w:rPr>
      </w:pPr>
    </w:p>
    <w:p w14:paraId="799D33A2" w14:textId="22B9B8A1" w:rsidR="003D1DE7" w:rsidRPr="008B1B0D" w:rsidRDefault="0071169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Hoeft</w:t>
      </w:r>
      <w:r w:rsidR="00995F38">
        <w:rPr>
          <w:rFonts w:ascii="Times New Roman" w:hAnsi="Times New Roman" w:cs="Times New Roman"/>
          <w:spacing w:val="-3"/>
        </w:rPr>
        <w:tab/>
      </w:r>
      <w:r w:rsidR="00DF5A2C">
        <w:rPr>
          <w:rFonts w:ascii="Times New Roman" w:hAnsi="Times New Roman" w:cs="Times New Roman"/>
          <w:spacing w:val="-3"/>
        </w:rPr>
        <w:tab/>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1ED2C11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6467749" w14:textId="5F831E2F"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995F38">
        <w:rPr>
          <w:rFonts w:ascii="Times New Roman" w:hAnsi="Times New Roman" w:cs="Times New Roman"/>
          <w:spacing w:val="-3"/>
        </w:rPr>
        <w:t>C</w:t>
      </w:r>
      <w:r w:rsidR="00204BE9" w:rsidRPr="00204BE9">
        <w:rPr>
          <w:rFonts w:ascii="Times New Roman" w:hAnsi="Times New Roman" w:cs="Times New Roman"/>
          <w:spacing w:val="-3"/>
        </w:rPr>
        <w:t>-20</w:t>
      </w:r>
      <w:r w:rsidR="00091592">
        <w:rPr>
          <w:rFonts w:ascii="Times New Roman" w:hAnsi="Times New Roman" w:cs="Times New Roman"/>
          <w:spacing w:val="-3"/>
        </w:rPr>
        <w:t>19</w:t>
      </w:r>
      <w:r w:rsidR="00204BE9" w:rsidRPr="00204BE9">
        <w:rPr>
          <w:rFonts w:ascii="Times New Roman" w:hAnsi="Times New Roman" w:cs="Times New Roman"/>
          <w:spacing w:val="-3"/>
        </w:rPr>
        <w:t>-30</w:t>
      </w:r>
      <w:r w:rsidR="0071169B">
        <w:rPr>
          <w:rFonts w:ascii="Times New Roman" w:hAnsi="Times New Roman" w:cs="Times New Roman"/>
          <w:spacing w:val="-3"/>
        </w:rPr>
        <w:t>11586</w:t>
      </w:r>
    </w:p>
    <w:p w14:paraId="285ADC86"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40CAD294" w14:textId="4D8C430D" w:rsidR="003D1DE7" w:rsidRDefault="0071169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Metropolitan Edison </w:t>
      </w:r>
      <w:r w:rsidR="00995F38">
        <w:rPr>
          <w:rFonts w:ascii="Times New Roman" w:hAnsi="Times New Roman" w:cs="Times New Roman"/>
          <w:spacing w:val="-3"/>
        </w:rPr>
        <w:t>Co</w:t>
      </w:r>
      <w:r>
        <w:rPr>
          <w:rFonts w:ascii="Times New Roman" w:hAnsi="Times New Roman" w:cs="Times New Roman"/>
          <w:spacing w:val="-3"/>
        </w:rPr>
        <w:t>mpany</w:t>
      </w:r>
      <w:r w:rsidR="00995F38">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FFD3FB2" w14:textId="77777777" w:rsidR="00EA0466" w:rsidRDefault="00EA0466" w:rsidP="00E4054A">
      <w:pPr>
        <w:tabs>
          <w:tab w:val="left" w:pos="-720"/>
          <w:tab w:val="left" w:pos="5040"/>
        </w:tabs>
        <w:suppressAutoHyphens/>
        <w:rPr>
          <w:rFonts w:ascii="Times New Roman" w:hAnsi="Times New Roman" w:cs="Times New Roman"/>
          <w:spacing w:val="-3"/>
        </w:rPr>
      </w:pPr>
    </w:p>
    <w:p w14:paraId="718177E3" w14:textId="77777777" w:rsidR="00D94448" w:rsidRDefault="00D94448" w:rsidP="00E4054A">
      <w:pPr>
        <w:tabs>
          <w:tab w:val="left" w:pos="-720"/>
          <w:tab w:val="left" w:pos="5040"/>
        </w:tabs>
        <w:suppressAutoHyphens/>
        <w:rPr>
          <w:rFonts w:ascii="Times New Roman" w:hAnsi="Times New Roman" w:cs="Times New Roman"/>
          <w:spacing w:val="-3"/>
        </w:rPr>
      </w:pPr>
    </w:p>
    <w:p w14:paraId="4F5F4E0D" w14:textId="77777777" w:rsidR="00C25310" w:rsidRDefault="00C25310" w:rsidP="00E4054A">
      <w:pPr>
        <w:tabs>
          <w:tab w:val="left" w:pos="-720"/>
          <w:tab w:val="left" w:pos="5040"/>
        </w:tabs>
        <w:suppressAutoHyphens/>
        <w:rPr>
          <w:rFonts w:ascii="Times New Roman" w:hAnsi="Times New Roman" w:cs="Times New Roman"/>
          <w:spacing w:val="-3"/>
        </w:rPr>
      </w:pPr>
    </w:p>
    <w:p w14:paraId="0EE132B5" w14:textId="4D36E2EE" w:rsidR="008E3487" w:rsidRPr="008E3487" w:rsidRDefault="00915915" w:rsidP="00430402">
      <w:pPr>
        <w:tabs>
          <w:tab w:val="left" w:pos="0"/>
        </w:tabs>
        <w:autoSpaceDE/>
        <w:autoSpaceDN/>
        <w:spacing w:line="360" w:lineRule="auto"/>
        <w:jc w:val="center"/>
        <w:rPr>
          <w:rFonts w:ascii="Times New Roman" w:hAnsi="Times New Roman" w:cs="Times New Roman"/>
          <w:b/>
          <w:szCs w:val="20"/>
          <w:u w:val="single"/>
        </w:rPr>
      </w:pPr>
      <w:r>
        <w:rPr>
          <w:rFonts w:ascii="Times New Roman" w:hAnsi="Times New Roman" w:cs="Times New Roman"/>
          <w:b/>
          <w:szCs w:val="20"/>
          <w:u w:val="single"/>
        </w:rPr>
        <w:t>SECOND PREHEARING O</w:t>
      </w:r>
      <w:r w:rsidR="008E3487" w:rsidRPr="008E3487">
        <w:rPr>
          <w:rFonts w:ascii="Times New Roman" w:hAnsi="Times New Roman" w:cs="Times New Roman"/>
          <w:b/>
          <w:szCs w:val="20"/>
          <w:u w:val="single"/>
        </w:rPr>
        <w:t>RDER</w:t>
      </w:r>
    </w:p>
    <w:p w14:paraId="22B5F9CB" w14:textId="77777777" w:rsidR="008E3487" w:rsidRPr="008E3487" w:rsidRDefault="008E3487" w:rsidP="00430402">
      <w:pPr>
        <w:tabs>
          <w:tab w:val="left" w:pos="0"/>
        </w:tabs>
        <w:autoSpaceDE/>
        <w:autoSpaceDN/>
        <w:spacing w:line="360" w:lineRule="auto"/>
        <w:jc w:val="both"/>
        <w:rPr>
          <w:rFonts w:ascii="Times New Roman" w:hAnsi="Times New Roman" w:cs="Times New Roman"/>
          <w:szCs w:val="20"/>
        </w:rPr>
      </w:pPr>
    </w:p>
    <w:p w14:paraId="561E0126" w14:textId="77777777" w:rsidR="009647EC" w:rsidRPr="009647EC" w:rsidRDefault="00FB5ED2" w:rsidP="009647EC">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r w:rsidR="00C809AF">
        <w:rPr>
          <w:szCs w:val="20"/>
        </w:rPr>
        <w:t xml:space="preserve">This Order resolves the outstanding Preliminary Objections filed by Metropolitan Edison Company </w:t>
      </w:r>
      <w:r w:rsidR="00701531">
        <w:rPr>
          <w:szCs w:val="20"/>
        </w:rPr>
        <w:t xml:space="preserve">in this case </w:t>
      </w:r>
      <w:r w:rsidR="00C809AF">
        <w:rPr>
          <w:szCs w:val="20"/>
        </w:rPr>
        <w:t xml:space="preserve">and is </w:t>
      </w:r>
      <w:r w:rsidR="001D4536">
        <w:rPr>
          <w:szCs w:val="20"/>
        </w:rPr>
        <w:t xml:space="preserve">issued to </w:t>
      </w:r>
      <w:r w:rsidR="00D67189">
        <w:rPr>
          <w:szCs w:val="20"/>
        </w:rPr>
        <w:t>re-</w:t>
      </w:r>
      <w:r w:rsidR="001D4536">
        <w:rPr>
          <w:szCs w:val="20"/>
        </w:rPr>
        <w:t xml:space="preserve">acquaint the parties with the </w:t>
      </w:r>
      <w:r w:rsidR="003F0331">
        <w:rPr>
          <w:szCs w:val="20"/>
        </w:rPr>
        <w:t>effect of the decision o</w:t>
      </w:r>
      <w:r w:rsidR="00155FA9">
        <w:rPr>
          <w:szCs w:val="20"/>
        </w:rPr>
        <w:t>f</w:t>
      </w:r>
      <w:r w:rsidR="003F0331">
        <w:rPr>
          <w:szCs w:val="20"/>
        </w:rPr>
        <w:t xml:space="preserve"> the Pennsylvania Supreme Court </w:t>
      </w:r>
      <w:r w:rsidR="009647EC">
        <w:rPr>
          <w:szCs w:val="20"/>
        </w:rPr>
        <w:t xml:space="preserve">in </w:t>
      </w:r>
    </w:p>
    <w:p w14:paraId="107F43D4" w14:textId="640A19FD" w:rsidR="00C75AA8" w:rsidRDefault="009647EC" w:rsidP="009647EC">
      <w:pPr>
        <w:tabs>
          <w:tab w:val="left" w:pos="-720"/>
        </w:tabs>
        <w:suppressAutoHyphens/>
        <w:spacing w:line="360" w:lineRule="auto"/>
        <w:rPr>
          <w:szCs w:val="20"/>
        </w:rPr>
      </w:pPr>
      <w:r w:rsidRPr="009647EC">
        <w:rPr>
          <w:szCs w:val="20"/>
        </w:rPr>
        <w:t xml:space="preserve"> </w:t>
      </w:r>
      <w:r w:rsidRPr="009647EC">
        <w:rPr>
          <w:i/>
          <w:iCs/>
          <w:szCs w:val="20"/>
        </w:rPr>
        <w:t>Povacz v. Pa. Pub. Util. Comm’n</w:t>
      </w:r>
      <w:r w:rsidRPr="009647EC">
        <w:rPr>
          <w:szCs w:val="20"/>
        </w:rPr>
        <w:t>, 280 A.3d 975 (Pa. 2022)</w:t>
      </w:r>
      <w:r w:rsidR="003F0331" w:rsidRPr="003F0331">
        <w:rPr>
          <w:szCs w:val="20"/>
        </w:rPr>
        <w:t xml:space="preserve"> (</w:t>
      </w:r>
      <w:r w:rsidR="003F0331" w:rsidRPr="003F0331">
        <w:rPr>
          <w:i/>
          <w:iCs/>
          <w:szCs w:val="20"/>
        </w:rPr>
        <w:t>Povacz II</w:t>
      </w:r>
      <w:r w:rsidR="003F0331" w:rsidRPr="003F0331">
        <w:rPr>
          <w:szCs w:val="20"/>
        </w:rPr>
        <w:t>)</w:t>
      </w:r>
      <w:r>
        <w:rPr>
          <w:szCs w:val="20"/>
        </w:rPr>
        <w:t xml:space="preserve">, </w:t>
      </w:r>
      <w:r w:rsidR="00155FA9">
        <w:rPr>
          <w:szCs w:val="20"/>
        </w:rPr>
        <w:t xml:space="preserve">as it </w:t>
      </w:r>
      <w:r w:rsidR="00D67189">
        <w:rPr>
          <w:szCs w:val="20"/>
        </w:rPr>
        <w:t>relates to</w:t>
      </w:r>
      <w:r w:rsidR="00155FA9">
        <w:rPr>
          <w:szCs w:val="20"/>
        </w:rPr>
        <w:t xml:space="preserve"> this case</w:t>
      </w:r>
      <w:r w:rsidR="003F0331" w:rsidRPr="003F0331">
        <w:rPr>
          <w:szCs w:val="20"/>
        </w:rPr>
        <w:t xml:space="preserve">.  </w:t>
      </w:r>
      <w:r w:rsidRPr="009647EC">
        <w:rPr>
          <w:i/>
          <w:iCs/>
          <w:szCs w:val="20"/>
        </w:rPr>
        <w:t>Povacz II</w:t>
      </w:r>
      <w:r w:rsidR="00701531">
        <w:rPr>
          <w:szCs w:val="20"/>
        </w:rPr>
        <w:t xml:space="preserve"> would have been </w:t>
      </w:r>
      <w:r>
        <w:rPr>
          <w:szCs w:val="20"/>
        </w:rPr>
        <w:t xml:space="preserve">a central item </w:t>
      </w:r>
      <w:r w:rsidR="00701531">
        <w:rPr>
          <w:szCs w:val="20"/>
        </w:rPr>
        <w:t xml:space="preserve">for </w:t>
      </w:r>
      <w:r w:rsidR="00993714">
        <w:rPr>
          <w:szCs w:val="20"/>
        </w:rPr>
        <w:t>discussion had Complainant attended the prehearing conference of March 19, 2024</w:t>
      </w:r>
      <w:r w:rsidR="002265EB">
        <w:rPr>
          <w:szCs w:val="20"/>
        </w:rPr>
        <w:t xml:space="preserve">.  As Complainant did not attend that conference, </w:t>
      </w:r>
      <w:r>
        <w:rPr>
          <w:szCs w:val="20"/>
        </w:rPr>
        <w:t>he is bound by its outcome</w:t>
      </w:r>
      <w:r w:rsidR="005461B1">
        <w:rPr>
          <w:szCs w:val="20"/>
        </w:rPr>
        <w:t xml:space="preserve"> under the regulation at </w:t>
      </w:r>
      <w:r w:rsidR="005461B1" w:rsidRPr="005461B1">
        <w:rPr>
          <w:szCs w:val="20"/>
        </w:rPr>
        <w:t>Pa. Code § 5.245(a)</w:t>
      </w:r>
      <w:r>
        <w:rPr>
          <w:szCs w:val="20"/>
        </w:rPr>
        <w:t xml:space="preserve">, and </w:t>
      </w:r>
      <w:r w:rsidR="002265EB">
        <w:rPr>
          <w:szCs w:val="20"/>
        </w:rPr>
        <w:t xml:space="preserve">an evidentiary hearing will </w:t>
      </w:r>
      <w:r w:rsidR="00CB5AC8">
        <w:rPr>
          <w:szCs w:val="20"/>
        </w:rPr>
        <w:t xml:space="preserve">now </w:t>
      </w:r>
      <w:r w:rsidR="002265EB">
        <w:rPr>
          <w:szCs w:val="20"/>
        </w:rPr>
        <w:t xml:space="preserve">be scheduled </w:t>
      </w:r>
      <w:r w:rsidR="00C75AA8">
        <w:rPr>
          <w:szCs w:val="20"/>
        </w:rPr>
        <w:t xml:space="preserve">consistent with the decision in </w:t>
      </w:r>
      <w:r w:rsidR="00C75AA8" w:rsidRPr="00CB5AC8">
        <w:rPr>
          <w:i/>
          <w:iCs/>
          <w:szCs w:val="20"/>
        </w:rPr>
        <w:t>Povacz II</w:t>
      </w:r>
      <w:r w:rsidR="00C75AA8">
        <w:rPr>
          <w:szCs w:val="20"/>
        </w:rPr>
        <w:t xml:space="preserve"> and the Commission’s Orders with respect to the litigation of “smart meter cases,” as will be discussed, below.</w:t>
      </w:r>
    </w:p>
    <w:p w14:paraId="7628AC96" w14:textId="51F0D40C" w:rsidR="00FA0753" w:rsidRPr="00975654" w:rsidRDefault="00FA0753" w:rsidP="00CB5AC8">
      <w:pPr>
        <w:tabs>
          <w:tab w:val="left" w:pos="-720"/>
          <w:tab w:val="left" w:pos="2070"/>
        </w:tabs>
        <w:suppressAutoHyphens/>
        <w:spacing w:line="360" w:lineRule="auto"/>
        <w:ind w:firstLine="1440"/>
        <w:jc w:val="center"/>
        <w:rPr>
          <w:rFonts w:ascii="Times New Roman" w:eastAsia="Calibri" w:hAnsi="Times New Roman" w:cs="Times New Roman"/>
          <w:u w:val="single"/>
        </w:rPr>
      </w:pPr>
      <w:r>
        <w:rPr>
          <w:szCs w:val="20"/>
        </w:rPr>
        <w:br/>
      </w:r>
      <w:r w:rsidR="00975654">
        <w:rPr>
          <w:szCs w:val="20"/>
          <w:u w:val="single"/>
        </w:rPr>
        <w:t>SUMMARIZED HISTORY OF THE PROCEEDING</w:t>
      </w:r>
    </w:p>
    <w:p w14:paraId="30DFF633" w14:textId="77777777" w:rsidR="0058238E" w:rsidRDefault="0058238E" w:rsidP="00361325">
      <w:pPr>
        <w:tabs>
          <w:tab w:val="left" w:pos="0"/>
          <w:tab w:val="left" w:pos="1440"/>
        </w:tabs>
        <w:autoSpaceDE/>
        <w:autoSpaceDN/>
        <w:spacing w:line="360" w:lineRule="auto"/>
        <w:rPr>
          <w:rFonts w:ascii="Times New Roman" w:eastAsia="Calibri" w:hAnsi="Times New Roman" w:cs="Times New Roman"/>
        </w:rPr>
      </w:pPr>
    </w:p>
    <w:p w14:paraId="398FC9B6" w14:textId="77777777" w:rsidR="00B40CD7" w:rsidRDefault="00BF12A3" w:rsidP="006970F4">
      <w:pPr>
        <w:tabs>
          <w:tab w:val="left" w:pos="0"/>
          <w:tab w:val="left" w:pos="1440"/>
        </w:tabs>
        <w:autoSpaceDE/>
        <w:autoSpaceDN/>
        <w:spacing w:line="360" w:lineRule="auto"/>
        <w:rPr>
          <w:rFonts w:ascii="Times New Roman" w:hAnsi="Times New Roman"/>
        </w:rPr>
      </w:pPr>
      <w:r>
        <w:rPr>
          <w:rFonts w:ascii="Times New Roman" w:eastAsia="Calibri" w:hAnsi="Times New Roman" w:cs="Times New Roman"/>
        </w:rPr>
        <w:tab/>
      </w:r>
      <w:r w:rsidR="003E3D7C" w:rsidRPr="003E3D7C">
        <w:rPr>
          <w:rFonts w:ascii="Times New Roman" w:hAnsi="Times New Roman"/>
        </w:rPr>
        <w:t xml:space="preserve"> </w:t>
      </w:r>
      <w:r w:rsidR="0002173F">
        <w:rPr>
          <w:rFonts w:ascii="Times New Roman" w:hAnsi="Times New Roman"/>
        </w:rPr>
        <w:t>On Ju</w:t>
      </w:r>
      <w:r w:rsidR="0041499E">
        <w:rPr>
          <w:rFonts w:ascii="Times New Roman" w:hAnsi="Times New Roman"/>
        </w:rPr>
        <w:t>ly 15, 2019</w:t>
      </w:r>
      <w:r w:rsidR="0002173F">
        <w:rPr>
          <w:rFonts w:ascii="Times New Roman" w:hAnsi="Times New Roman"/>
        </w:rPr>
        <w:t xml:space="preserve">, </w:t>
      </w:r>
      <w:r w:rsidR="002A6D6B">
        <w:rPr>
          <w:rFonts w:ascii="Times New Roman" w:hAnsi="Times New Roman"/>
        </w:rPr>
        <w:t>Brian Hoeft</w:t>
      </w:r>
      <w:r w:rsidR="0002173F">
        <w:rPr>
          <w:rFonts w:ascii="Times New Roman" w:hAnsi="Times New Roman"/>
        </w:rPr>
        <w:t xml:space="preserve"> (Complainant) </w:t>
      </w:r>
      <w:r w:rsidR="002A205B">
        <w:rPr>
          <w:rFonts w:ascii="Times New Roman" w:hAnsi="Times New Roman"/>
        </w:rPr>
        <w:t xml:space="preserve">filed a formal Complaint against </w:t>
      </w:r>
      <w:r w:rsidR="002A6D6B">
        <w:rPr>
          <w:rFonts w:ascii="Times New Roman" w:hAnsi="Times New Roman"/>
        </w:rPr>
        <w:t xml:space="preserve">Metropolitan Edison Company </w:t>
      </w:r>
      <w:r w:rsidR="002A205B">
        <w:rPr>
          <w:rFonts w:ascii="Times New Roman" w:hAnsi="Times New Roman"/>
        </w:rPr>
        <w:t>(</w:t>
      </w:r>
      <w:r w:rsidR="00310768">
        <w:rPr>
          <w:rFonts w:ascii="Times New Roman" w:hAnsi="Times New Roman"/>
        </w:rPr>
        <w:t>Met-Ed</w:t>
      </w:r>
      <w:r w:rsidR="002A205B">
        <w:rPr>
          <w:rFonts w:ascii="Times New Roman" w:hAnsi="Times New Roman"/>
        </w:rPr>
        <w:t xml:space="preserve"> or Respondent)</w:t>
      </w:r>
      <w:r w:rsidR="00204CFB">
        <w:rPr>
          <w:rFonts w:ascii="Times New Roman" w:hAnsi="Times New Roman"/>
        </w:rPr>
        <w:t xml:space="preserve"> </w:t>
      </w:r>
      <w:r w:rsidR="0048708D">
        <w:rPr>
          <w:rFonts w:ascii="Times New Roman" w:hAnsi="Times New Roman"/>
        </w:rPr>
        <w:t xml:space="preserve">challenging </w:t>
      </w:r>
      <w:r w:rsidR="00B37B59">
        <w:rPr>
          <w:rFonts w:ascii="Times New Roman" w:hAnsi="Times New Roman"/>
        </w:rPr>
        <w:t xml:space="preserve">a termination Notice sent to him by Met-Ed and </w:t>
      </w:r>
      <w:r w:rsidR="00204CFB">
        <w:rPr>
          <w:rFonts w:ascii="Times New Roman" w:hAnsi="Times New Roman"/>
        </w:rPr>
        <w:t xml:space="preserve">requesting a delay in the placement of a “smart meter” </w:t>
      </w:r>
      <w:r w:rsidR="00C00276">
        <w:rPr>
          <w:rFonts w:ascii="Times New Roman" w:hAnsi="Times New Roman"/>
        </w:rPr>
        <w:t>a</w:t>
      </w:r>
      <w:r w:rsidR="00B37B59">
        <w:rPr>
          <w:rFonts w:ascii="Times New Roman" w:hAnsi="Times New Roman"/>
        </w:rPr>
        <w:t>t his residence.</w:t>
      </w:r>
      <w:r w:rsidR="00B40CD7">
        <w:rPr>
          <w:rFonts w:ascii="Times New Roman" w:hAnsi="Times New Roman"/>
        </w:rPr>
        <w:t xml:space="preserve">  Com</w:t>
      </w:r>
      <w:r w:rsidR="00C00276">
        <w:rPr>
          <w:rFonts w:ascii="Times New Roman" w:hAnsi="Times New Roman"/>
        </w:rPr>
        <w:t xml:space="preserve">plainant </w:t>
      </w:r>
      <w:r w:rsidR="00B40CD7">
        <w:rPr>
          <w:rFonts w:ascii="Times New Roman" w:hAnsi="Times New Roman"/>
        </w:rPr>
        <w:t>specifically requested the following relief:</w:t>
      </w:r>
    </w:p>
    <w:p w14:paraId="3C60EB6B" w14:textId="77777777" w:rsidR="00B40CD7" w:rsidRDefault="00B40CD7" w:rsidP="006970F4">
      <w:pPr>
        <w:tabs>
          <w:tab w:val="left" w:pos="0"/>
          <w:tab w:val="left" w:pos="1440"/>
        </w:tabs>
        <w:autoSpaceDE/>
        <w:autoSpaceDN/>
        <w:spacing w:line="360" w:lineRule="auto"/>
        <w:rPr>
          <w:rFonts w:ascii="Times New Roman" w:hAnsi="Times New Roman"/>
        </w:rPr>
      </w:pPr>
    </w:p>
    <w:p w14:paraId="56EF5E44" w14:textId="71F7011F" w:rsidR="00DF647B" w:rsidRDefault="00DF647B" w:rsidP="00DF647B">
      <w:pPr>
        <w:autoSpaceDE/>
        <w:autoSpaceDN/>
        <w:ind w:left="1440" w:right="720"/>
        <w:rPr>
          <w:rFonts w:ascii="Times New Roman" w:hAnsi="Times New Roman"/>
        </w:rPr>
      </w:pPr>
      <w:r w:rsidRPr="00DF647B">
        <w:rPr>
          <w:rFonts w:ascii="Times New Roman" w:hAnsi="Times New Roman"/>
        </w:rPr>
        <w:t>1.</w:t>
      </w:r>
      <w:r w:rsidR="0085612B">
        <w:rPr>
          <w:rFonts w:ascii="Times New Roman" w:hAnsi="Times New Roman"/>
        </w:rPr>
        <w:t xml:space="preserve"> </w:t>
      </w:r>
      <w:r w:rsidRPr="00DF647B">
        <w:rPr>
          <w:rFonts w:ascii="Times New Roman" w:hAnsi="Times New Roman"/>
        </w:rPr>
        <w:t xml:space="preserve"> Give more time for resolution through proposed legislation, particularly SB791.</w:t>
      </w:r>
    </w:p>
    <w:p w14:paraId="6C106178" w14:textId="77777777" w:rsidR="00E95A07" w:rsidRPr="00DF647B" w:rsidRDefault="00E95A07" w:rsidP="00DF647B">
      <w:pPr>
        <w:autoSpaceDE/>
        <w:autoSpaceDN/>
        <w:ind w:left="1440" w:right="720"/>
        <w:rPr>
          <w:rFonts w:ascii="Times New Roman" w:hAnsi="Times New Roman"/>
        </w:rPr>
      </w:pPr>
    </w:p>
    <w:p w14:paraId="793962D7" w14:textId="2BF2EE29" w:rsidR="00DF647B" w:rsidRDefault="00DF647B" w:rsidP="00DF647B">
      <w:pPr>
        <w:autoSpaceDE/>
        <w:autoSpaceDN/>
        <w:ind w:left="1440" w:right="720"/>
        <w:rPr>
          <w:rFonts w:ascii="Times New Roman" w:hAnsi="Times New Roman"/>
        </w:rPr>
      </w:pPr>
      <w:r w:rsidRPr="00DF647B">
        <w:rPr>
          <w:rFonts w:ascii="Times New Roman" w:hAnsi="Times New Roman"/>
        </w:rPr>
        <w:lastRenderedPageBreak/>
        <w:t xml:space="preserve">2. </w:t>
      </w:r>
      <w:r w:rsidR="0085612B">
        <w:rPr>
          <w:rFonts w:ascii="Times New Roman" w:hAnsi="Times New Roman"/>
        </w:rPr>
        <w:t xml:space="preserve"> </w:t>
      </w:r>
      <w:r w:rsidRPr="00DF647B">
        <w:rPr>
          <w:rFonts w:ascii="Times New Roman" w:hAnsi="Times New Roman"/>
        </w:rPr>
        <w:t>Give more time for additional actions to be taken for alternative means of power generation/distribution.</w:t>
      </w:r>
    </w:p>
    <w:p w14:paraId="6337C5D9" w14:textId="77777777" w:rsidR="00E95A07" w:rsidRPr="00DF647B" w:rsidRDefault="00E95A07" w:rsidP="00DF647B">
      <w:pPr>
        <w:autoSpaceDE/>
        <w:autoSpaceDN/>
        <w:ind w:left="1440" w:right="720"/>
        <w:rPr>
          <w:rFonts w:ascii="Times New Roman" w:hAnsi="Times New Roman"/>
        </w:rPr>
      </w:pPr>
    </w:p>
    <w:p w14:paraId="41544AE3" w14:textId="21A763F4" w:rsidR="00DF647B" w:rsidRDefault="00DF647B" w:rsidP="00DF647B">
      <w:pPr>
        <w:autoSpaceDE/>
        <w:autoSpaceDN/>
        <w:ind w:left="1440" w:right="720"/>
        <w:rPr>
          <w:rFonts w:ascii="Times New Roman" w:hAnsi="Times New Roman"/>
        </w:rPr>
      </w:pPr>
      <w:r w:rsidRPr="00DF647B">
        <w:rPr>
          <w:rFonts w:ascii="Times New Roman" w:hAnsi="Times New Roman"/>
        </w:rPr>
        <w:t xml:space="preserve">3. </w:t>
      </w:r>
      <w:r w:rsidR="0085612B">
        <w:rPr>
          <w:rFonts w:ascii="Times New Roman" w:hAnsi="Times New Roman"/>
        </w:rPr>
        <w:t xml:space="preserve"> </w:t>
      </w:r>
      <w:r w:rsidRPr="00DF647B">
        <w:rPr>
          <w:rFonts w:ascii="Times New Roman" w:hAnsi="Times New Roman"/>
        </w:rPr>
        <w:t>Give more notice than a written 10 day shut off notice followed soon after by a rude</w:t>
      </w:r>
      <w:r w:rsidR="00E95A07">
        <w:rPr>
          <w:rFonts w:ascii="Times New Roman" w:hAnsi="Times New Roman"/>
        </w:rPr>
        <w:t xml:space="preserve"> </w:t>
      </w:r>
      <w:r w:rsidRPr="00DF647B">
        <w:rPr>
          <w:rFonts w:ascii="Times New Roman" w:hAnsi="Times New Roman"/>
        </w:rPr>
        <w:t xml:space="preserve">phone call at 4:45 PM on a Thursday with 3 </w:t>
      </w:r>
      <w:proofErr w:type="gramStart"/>
      <w:r w:rsidRPr="00DF647B">
        <w:rPr>
          <w:rFonts w:ascii="Times New Roman" w:hAnsi="Times New Roman"/>
        </w:rPr>
        <w:t>day</w:t>
      </w:r>
      <w:proofErr w:type="gramEnd"/>
      <w:r w:rsidRPr="00DF647B">
        <w:rPr>
          <w:rFonts w:ascii="Times New Roman" w:hAnsi="Times New Roman"/>
        </w:rPr>
        <w:t xml:space="preserve"> shut off notice to someone who dutifully pays</w:t>
      </w:r>
      <w:r w:rsidR="00E95A07">
        <w:rPr>
          <w:rFonts w:ascii="Times New Roman" w:hAnsi="Times New Roman"/>
        </w:rPr>
        <w:t xml:space="preserve"> </w:t>
      </w:r>
      <w:r w:rsidRPr="00DF647B">
        <w:rPr>
          <w:rFonts w:ascii="Times New Roman" w:hAnsi="Times New Roman"/>
        </w:rPr>
        <w:t xml:space="preserve">their utility bills for years and simply </w:t>
      </w:r>
      <w:proofErr w:type="spellStart"/>
      <w:r w:rsidRPr="00DF647B">
        <w:rPr>
          <w:rFonts w:ascii="Times New Roman" w:hAnsi="Times New Roman"/>
        </w:rPr>
        <w:t>want's</w:t>
      </w:r>
      <w:proofErr w:type="spellEnd"/>
      <w:r w:rsidRPr="00DF647B">
        <w:rPr>
          <w:rFonts w:ascii="Times New Roman" w:hAnsi="Times New Roman"/>
        </w:rPr>
        <w:t xml:space="preserve"> to remain “as-is”.</w:t>
      </w:r>
    </w:p>
    <w:p w14:paraId="1F262EBE" w14:textId="77777777" w:rsidR="00E95A07" w:rsidRPr="00DF647B" w:rsidRDefault="00E95A07" w:rsidP="00DF647B">
      <w:pPr>
        <w:autoSpaceDE/>
        <w:autoSpaceDN/>
        <w:ind w:left="1440" w:right="720"/>
        <w:rPr>
          <w:rFonts w:ascii="Times New Roman" w:hAnsi="Times New Roman"/>
        </w:rPr>
      </w:pPr>
    </w:p>
    <w:p w14:paraId="59C9C6BF" w14:textId="2DB23EF0" w:rsidR="00DF647B" w:rsidRDefault="00DF647B" w:rsidP="00DF647B">
      <w:pPr>
        <w:autoSpaceDE/>
        <w:autoSpaceDN/>
        <w:ind w:left="1440" w:right="720"/>
        <w:rPr>
          <w:rFonts w:ascii="Times New Roman" w:hAnsi="Times New Roman"/>
        </w:rPr>
      </w:pPr>
      <w:r w:rsidRPr="00DF647B">
        <w:rPr>
          <w:rFonts w:ascii="Times New Roman" w:hAnsi="Times New Roman"/>
        </w:rPr>
        <w:t xml:space="preserve">4. </w:t>
      </w:r>
      <w:r w:rsidR="0085612B">
        <w:rPr>
          <w:rFonts w:ascii="Times New Roman" w:hAnsi="Times New Roman"/>
        </w:rPr>
        <w:t xml:space="preserve"> </w:t>
      </w:r>
      <w:r w:rsidRPr="00DF647B">
        <w:rPr>
          <w:rFonts w:ascii="Times New Roman" w:hAnsi="Times New Roman"/>
        </w:rPr>
        <w:t xml:space="preserve">Extend overbearing and/or capricious deadline which has </w:t>
      </w:r>
      <w:r w:rsidR="0085612B">
        <w:rPr>
          <w:rFonts w:ascii="Times New Roman" w:hAnsi="Times New Roman"/>
        </w:rPr>
        <w:t>n</w:t>
      </w:r>
      <w:r w:rsidRPr="00DF647B">
        <w:rPr>
          <w:rFonts w:ascii="Times New Roman" w:hAnsi="Times New Roman"/>
        </w:rPr>
        <w:t>ot yet been met by Act 129.</w:t>
      </w:r>
    </w:p>
    <w:p w14:paraId="7B119C81" w14:textId="77777777" w:rsidR="0085612B" w:rsidRPr="00DF647B" w:rsidRDefault="0085612B" w:rsidP="00DF647B">
      <w:pPr>
        <w:autoSpaceDE/>
        <w:autoSpaceDN/>
        <w:ind w:left="1440" w:right="720"/>
        <w:rPr>
          <w:rFonts w:ascii="Times New Roman" w:hAnsi="Times New Roman"/>
        </w:rPr>
      </w:pPr>
    </w:p>
    <w:p w14:paraId="0A22A546" w14:textId="2A2558FA" w:rsidR="00B40CD7" w:rsidRDefault="00DF647B" w:rsidP="00DF647B">
      <w:pPr>
        <w:autoSpaceDE/>
        <w:autoSpaceDN/>
        <w:ind w:left="1440" w:right="720"/>
        <w:rPr>
          <w:rFonts w:ascii="Times New Roman" w:hAnsi="Times New Roman"/>
        </w:rPr>
      </w:pPr>
      <w:r w:rsidRPr="00DF647B">
        <w:rPr>
          <w:rFonts w:ascii="Times New Roman" w:hAnsi="Times New Roman"/>
        </w:rPr>
        <w:t xml:space="preserve">5. </w:t>
      </w:r>
      <w:r w:rsidR="0085612B">
        <w:rPr>
          <w:rFonts w:ascii="Times New Roman" w:hAnsi="Times New Roman"/>
        </w:rPr>
        <w:t xml:space="preserve"> </w:t>
      </w:r>
      <w:r w:rsidRPr="00DF647B">
        <w:rPr>
          <w:rFonts w:ascii="Times New Roman" w:hAnsi="Times New Roman"/>
        </w:rPr>
        <w:t>Postpone “smart” meter installation.</w:t>
      </w:r>
    </w:p>
    <w:p w14:paraId="0DB9B81B" w14:textId="77777777" w:rsidR="003F0331" w:rsidRDefault="003F0331" w:rsidP="00DF647B">
      <w:pPr>
        <w:autoSpaceDE/>
        <w:autoSpaceDN/>
        <w:ind w:left="1440" w:right="720"/>
        <w:rPr>
          <w:rFonts w:ascii="Times New Roman" w:hAnsi="Times New Roman"/>
        </w:rPr>
      </w:pPr>
    </w:p>
    <w:p w14:paraId="644F8880" w14:textId="28171D1E" w:rsidR="00C00276" w:rsidRDefault="00AB3CE2" w:rsidP="006970F4">
      <w:pPr>
        <w:tabs>
          <w:tab w:val="left" w:pos="0"/>
          <w:tab w:val="left" w:pos="1440"/>
        </w:tabs>
        <w:autoSpaceDE/>
        <w:autoSpaceDN/>
        <w:spacing w:line="360" w:lineRule="auto"/>
        <w:rPr>
          <w:rFonts w:ascii="Times New Roman" w:hAnsi="Times New Roman"/>
        </w:rPr>
      </w:pPr>
      <w:r>
        <w:rPr>
          <w:rFonts w:ascii="Times New Roman" w:hAnsi="Times New Roman"/>
        </w:rPr>
        <w:tab/>
        <w:t>On</w:t>
      </w:r>
      <w:r w:rsidR="00467218">
        <w:rPr>
          <w:rFonts w:ascii="Times New Roman" w:hAnsi="Times New Roman"/>
        </w:rPr>
        <w:t xml:space="preserve"> August </w:t>
      </w:r>
      <w:r w:rsidR="00796113">
        <w:rPr>
          <w:rFonts w:ascii="Times New Roman" w:hAnsi="Times New Roman"/>
        </w:rPr>
        <w:t>6</w:t>
      </w:r>
      <w:r w:rsidR="004E5894">
        <w:rPr>
          <w:rFonts w:ascii="Times New Roman" w:hAnsi="Times New Roman"/>
        </w:rPr>
        <w:t>,</w:t>
      </w:r>
      <w:r w:rsidR="00796113">
        <w:rPr>
          <w:rFonts w:ascii="Times New Roman" w:hAnsi="Times New Roman"/>
        </w:rPr>
        <w:t xml:space="preserve"> 2019, Met-Ed</w:t>
      </w:r>
      <w:r w:rsidR="00467218">
        <w:rPr>
          <w:rFonts w:ascii="Times New Roman" w:hAnsi="Times New Roman"/>
        </w:rPr>
        <w:t xml:space="preserve"> filed an Answer </w:t>
      </w:r>
      <w:r w:rsidR="00B12ACF">
        <w:rPr>
          <w:rFonts w:ascii="Times New Roman" w:hAnsi="Times New Roman"/>
        </w:rPr>
        <w:t xml:space="preserve">and New Matter </w:t>
      </w:r>
      <w:r w:rsidR="00467218">
        <w:rPr>
          <w:rFonts w:ascii="Times New Roman" w:hAnsi="Times New Roman"/>
        </w:rPr>
        <w:t>to the Complaint denying any violation of the Public Utility Code (Code)</w:t>
      </w:r>
      <w:r w:rsidR="00456646">
        <w:rPr>
          <w:rFonts w:ascii="Times New Roman" w:hAnsi="Times New Roman"/>
        </w:rPr>
        <w:t xml:space="preserve">, the </w:t>
      </w:r>
      <w:r w:rsidR="00FE67DD">
        <w:rPr>
          <w:rFonts w:ascii="Times New Roman" w:hAnsi="Times New Roman"/>
        </w:rPr>
        <w:t>Commission’s</w:t>
      </w:r>
      <w:r w:rsidR="00316025">
        <w:rPr>
          <w:rFonts w:ascii="Times New Roman" w:hAnsi="Times New Roman"/>
        </w:rPr>
        <w:t xml:space="preserve"> </w:t>
      </w:r>
      <w:r w:rsidR="00456646">
        <w:rPr>
          <w:rFonts w:ascii="Times New Roman" w:hAnsi="Times New Roman"/>
        </w:rPr>
        <w:t>regulations</w:t>
      </w:r>
      <w:r w:rsidR="006B567C">
        <w:rPr>
          <w:rFonts w:ascii="Times New Roman" w:hAnsi="Times New Roman"/>
        </w:rPr>
        <w:t>,</w:t>
      </w:r>
      <w:r w:rsidR="00456646">
        <w:rPr>
          <w:rFonts w:ascii="Times New Roman" w:hAnsi="Times New Roman"/>
        </w:rPr>
        <w:t xml:space="preserve"> any Order of the Public Utility Commission</w:t>
      </w:r>
      <w:r w:rsidR="00316025">
        <w:rPr>
          <w:rFonts w:ascii="Times New Roman" w:hAnsi="Times New Roman"/>
        </w:rPr>
        <w:t xml:space="preserve"> or Met-Ed’s tariff</w:t>
      </w:r>
      <w:r w:rsidR="00456646">
        <w:rPr>
          <w:rFonts w:ascii="Times New Roman" w:hAnsi="Times New Roman"/>
        </w:rPr>
        <w:t>.</w:t>
      </w:r>
      <w:r w:rsidR="00B12ACF">
        <w:rPr>
          <w:rFonts w:ascii="Times New Roman" w:hAnsi="Times New Roman"/>
        </w:rPr>
        <w:t xml:space="preserve">  Specifically, Met-Ed stated that it had not </w:t>
      </w:r>
      <w:r w:rsidR="00EA0E57">
        <w:rPr>
          <w:rFonts w:ascii="Times New Roman" w:hAnsi="Times New Roman"/>
        </w:rPr>
        <w:t>threatened terminat</w:t>
      </w:r>
      <w:r w:rsidR="000335D2">
        <w:rPr>
          <w:rFonts w:ascii="Times New Roman" w:hAnsi="Times New Roman"/>
        </w:rPr>
        <w:t xml:space="preserve">ion of </w:t>
      </w:r>
      <w:r w:rsidR="00EA0E57">
        <w:rPr>
          <w:rFonts w:ascii="Times New Roman" w:hAnsi="Times New Roman"/>
        </w:rPr>
        <w:t>Complainant’s service</w:t>
      </w:r>
      <w:r w:rsidR="001B1378">
        <w:rPr>
          <w:rFonts w:ascii="Times New Roman" w:hAnsi="Times New Roman"/>
        </w:rPr>
        <w:t xml:space="preserve"> </w:t>
      </w:r>
      <w:r w:rsidR="009A6430">
        <w:rPr>
          <w:rFonts w:ascii="Times New Roman" w:hAnsi="Times New Roman"/>
        </w:rPr>
        <w:t xml:space="preserve">without basis </w:t>
      </w:r>
      <w:r w:rsidR="00836C5E">
        <w:rPr>
          <w:rFonts w:ascii="Times New Roman" w:hAnsi="Times New Roman"/>
        </w:rPr>
        <w:t>b</w:t>
      </w:r>
      <w:r w:rsidR="001708BC">
        <w:rPr>
          <w:rFonts w:ascii="Times New Roman" w:hAnsi="Times New Roman"/>
        </w:rPr>
        <w:t>ut maintained that Complainant had refused to allow the placement of a smart meter at his residenc</w:t>
      </w:r>
      <w:r w:rsidR="00B47BB0">
        <w:rPr>
          <w:rFonts w:ascii="Times New Roman" w:hAnsi="Times New Roman"/>
        </w:rPr>
        <w:t>e</w:t>
      </w:r>
      <w:r w:rsidR="00DC3FFE">
        <w:rPr>
          <w:rFonts w:ascii="Times New Roman" w:hAnsi="Times New Roman"/>
        </w:rPr>
        <w:t xml:space="preserve">, which </w:t>
      </w:r>
      <w:r w:rsidR="00FB2E47">
        <w:rPr>
          <w:rFonts w:ascii="Times New Roman" w:hAnsi="Times New Roman"/>
        </w:rPr>
        <w:t xml:space="preserve">placement </w:t>
      </w:r>
      <w:r w:rsidR="00DC3FFE">
        <w:rPr>
          <w:rFonts w:ascii="Times New Roman" w:hAnsi="Times New Roman"/>
        </w:rPr>
        <w:t xml:space="preserve">is </w:t>
      </w:r>
      <w:r w:rsidR="00B47BB0">
        <w:rPr>
          <w:rFonts w:ascii="Times New Roman" w:hAnsi="Times New Roman"/>
        </w:rPr>
        <w:t>in accordance with Act 129 of 2008 (Act 129)</w:t>
      </w:r>
      <w:r w:rsidR="00F04A4D">
        <w:rPr>
          <w:rFonts w:ascii="Times New Roman" w:hAnsi="Times New Roman"/>
        </w:rPr>
        <w:t xml:space="preserve">, 66 </w:t>
      </w:r>
      <w:proofErr w:type="spellStart"/>
      <w:r w:rsidR="00F04A4D">
        <w:rPr>
          <w:rFonts w:ascii="Times New Roman" w:hAnsi="Times New Roman"/>
        </w:rPr>
        <w:t>Pa.C.S</w:t>
      </w:r>
      <w:proofErr w:type="spellEnd"/>
      <w:r w:rsidR="00F04A4D">
        <w:rPr>
          <w:rFonts w:ascii="Times New Roman" w:hAnsi="Times New Roman"/>
        </w:rPr>
        <w:t xml:space="preserve">. </w:t>
      </w:r>
      <w:r w:rsidR="00F04A4D">
        <w:rPr>
          <w:rFonts w:ascii="Times New Roman" w:hAnsi="Times New Roman" w:cs="Times New Roman"/>
        </w:rPr>
        <w:t>§</w:t>
      </w:r>
      <w:r w:rsidR="00B900C1">
        <w:rPr>
          <w:rFonts w:ascii="Times New Roman" w:hAnsi="Times New Roman"/>
        </w:rPr>
        <w:t>2806.1.</w:t>
      </w:r>
      <w:r w:rsidR="00612A7F">
        <w:rPr>
          <w:rFonts w:ascii="Times New Roman" w:hAnsi="Times New Roman"/>
        </w:rPr>
        <w:t xml:space="preserve">  The Company </w:t>
      </w:r>
      <w:proofErr w:type="gramStart"/>
      <w:r w:rsidR="001F1173">
        <w:rPr>
          <w:rFonts w:ascii="Times New Roman" w:hAnsi="Times New Roman"/>
        </w:rPr>
        <w:t>maintained that at all times</w:t>
      </w:r>
      <w:proofErr w:type="gramEnd"/>
      <w:r w:rsidR="001F1173">
        <w:rPr>
          <w:rFonts w:ascii="Times New Roman" w:hAnsi="Times New Roman"/>
        </w:rPr>
        <w:t xml:space="preserve"> relevant to this proceeding its actions have been reasonable and have been performed in </w:t>
      </w:r>
      <w:r w:rsidR="005461B1">
        <w:rPr>
          <w:rFonts w:ascii="Times New Roman" w:hAnsi="Times New Roman"/>
        </w:rPr>
        <w:t xml:space="preserve">compliance </w:t>
      </w:r>
      <w:r w:rsidR="001F1173">
        <w:rPr>
          <w:rFonts w:ascii="Times New Roman" w:hAnsi="Times New Roman"/>
        </w:rPr>
        <w:t>with all applicable laws.</w:t>
      </w:r>
      <w:r w:rsidR="00693195">
        <w:rPr>
          <w:rFonts w:ascii="Times New Roman" w:hAnsi="Times New Roman"/>
        </w:rPr>
        <w:t xml:space="preserve">  In its New Matter, </w:t>
      </w:r>
      <w:r w:rsidR="00CE50ED">
        <w:rPr>
          <w:rFonts w:ascii="Times New Roman" w:hAnsi="Times New Roman"/>
        </w:rPr>
        <w:t xml:space="preserve">Met-Ed asked that the Complaint be dismissed </w:t>
      </w:r>
      <w:proofErr w:type="gramStart"/>
      <w:r w:rsidR="00CE50ED">
        <w:rPr>
          <w:rFonts w:ascii="Times New Roman" w:hAnsi="Times New Roman"/>
        </w:rPr>
        <w:t>on the basis of</w:t>
      </w:r>
      <w:proofErr w:type="gramEnd"/>
      <w:r w:rsidR="00CE50ED">
        <w:rPr>
          <w:rFonts w:ascii="Times New Roman" w:hAnsi="Times New Roman"/>
        </w:rPr>
        <w:t xml:space="preserve"> legal </w:t>
      </w:r>
      <w:r w:rsidR="00BD04C0">
        <w:rPr>
          <w:rFonts w:ascii="Times New Roman" w:hAnsi="Times New Roman"/>
        </w:rPr>
        <w:t>insufficiency citing Section 701 of the Public Utility Code</w:t>
      </w:r>
      <w:r w:rsidR="00C5508A">
        <w:rPr>
          <w:rFonts w:ascii="Times New Roman" w:hAnsi="Times New Roman"/>
        </w:rPr>
        <w:t>, arguing that it ha</w:t>
      </w:r>
      <w:r w:rsidR="000300A2">
        <w:rPr>
          <w:rFonts w:ascii="Times New Roman" w:hAnsi="Times New Roman"/>
        </w:rPr>
        <w:t>d</w:t>
      </w:r>
      <w:r w:rsidR="00C5508A">
        <w:rPr>
          <w:rFonts w:ascii="Times New Roman" w:hAnsi="Times New Roman"/>
        </w:rPr>
        <w:t xml:space="preserve"> </w:t>
      </w:r>
      <w:r w:rsidR="000300A2">
        <w:rPr>
          <w:rFonts w:ascii="Times New Roman" w:hAnsi="Times New Roman"/>
        </w:rPr>
        <w:t xml:space="preserve">merely </w:t>
      </w:r>
      <w:r w:rsidR="00C5508A">
        <w:rPr>
          <w:rFonts w:ascii="Times New Roman" w:hAnsi="Times New Roman"/>
        </w:rPr>
        <w:t>acted in compliance with the law</w:t>
      </w:r>
      <w:r w:rsidR="000300A2">
        <w:rPr>
          <w:rFonts w:ascii="Times New Roman" w:hAnsi="Times New Roman"/>
        </w:rPr>
        <w:t xml:space="preserve"> and thus there is no cause of action</w:t>
      </w:r>
      <w:r w:rsidR="005461B1">
        <w:rPr>
          <w:rFonts w:ascii="Times New Roman" w:hAnsi="Times New Roman"/>
        </w:rPr>
        <w:t>/lawful basis for the Complaint</w:t>
      </w:r>
      <w:r w:rsidR="00C5508A">
        <w:rPr>
          <w:rFonts w:ascii="Times New Roman" w:hAnsi="Times New Roman"/>
        </w:rPr>
        <w:t>.</w:t>
      </w:r>
    </w:p>
    <w:p w14:paraId="2B6CCED1" w14:textId="77777777" w:rsidR="00C5508A" w:rsidRDefault="00C5508A" w:rsidP="006970F4">
      <w:pPr>
        <w:tabs>
          <w:tab w:val="left" w:pos="0"/>
          <w:tab w:val="left" w:pos="1440"/>
        </w:tabs>
        <w:autoSpaceDE/>
        <w:autoSpaceDN/>
        <w:spacing w:line="360" w:lineRule="auto"/>
        <w:rPr>
          <w:rFonts w:ascii="Times New Roman" w:hAnsi="Times New Roman"/>
        </w:rPr>
      </w:pPr>
    </w:p>
    <w:p w14:paraId="2729ED3B" w14:textId="1393F4C6" w:rsidR="00C5508A" w:rsidRDefault="00C5508A" w:rsidP="00731AC5">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r>
      <w:r w:rsidR="008D4458">
        <w:rPr>
          <w:rFonts w:ascii="Times New Roman" w:hAnsi="Times New Roman"/>
        </w:rPr>
        <w:t xml:space="preserve">Also </w:t>
      </w:r>
      <w:bookmarkStart w:id="0" w:name="_Hlk161827142"/>
      <w:r w:rsidR="008D4458">
        <w:rPr>
          <w:rFonts w:ascii="Times New Roman" w:hAnsi="Times New Roman"/>
        </w:rPr>
        <w:t>on August 6, 20</w:t>
      </w:r>
      <w:r w:rsidR="00A61BDA">
        <w:rPr>
          <w:rFonts w:ascii="Times New Roman" w:hAnsi="Times New Roman"/>
        </w:rPr>
        <w:t xml:space="preserve">19, Met-Ed filed Preliminary Objections to the Complaint </w:t>
      </w:r>
      <w:r w:rsidR="00F66D63">
        <w:rPr>
          <w:rFonts w:ascii="Times New Roman" w:hAnsi="Times New Roman"/>
        </w:rPr>
        <w:t>asking that the Commission strike Complainant’s request for exemption f</w:t>
      </w:r>
      <w:r w:rsidR="007F2EDF">
        <w:rPr>
          <w:rFonts w:ascii="Times New Roman" w:hAnsi="Times New Roman"/>
        </w:rPr>
        <w:t>rom smart meter placement</w:t>
      </w:r>
      <w:r w:rsidR="00191922">
        <w:rPr>
          <w:rFonts w:ascii="Times New Roman" w:hAnsi="Times New Roman"/>
        </w:rPr>
        <w:t xml:space="preserve"> </w:t>
      </w:r>
      <w:r w:rsidR="004E79D6">
        <w:rPr>
          <w:rFonts w:ascii="Times New Roman" w:hAnsi="Times New Roman"/>
        </w:rPr>
        <w:t>as contrary to law</w:t>
      </w:r>
      <w:r w:rsidR="00385135">
        <w:rPr>
          <w:rFonts w:ascii="Times New Roman" w:hAnsi="Times New Roman"/>
        </w:rPr>
        <w:t>,</w:t>
      </w:r>
      <w:r w:rsidR="004E79D6">
        <w:rPr>
          <w:rFonts w:ascii="Times New Roman" w:hAnsi="Times New Roman"/>
        </w:rPr>
        <w:t xml:space="preserve"> </w:t>
      </w:r>
      <w:r w:rsidR="005461B1">
        <w:rPr>
          <w:rFonts w:ascii="Times New Roman" w:hAnsi="Times New Roman"/>
        </w:rPr>
        <w:t xml:space="preserve">and </w:t>
      </w:r>
      <w:r w:rsidR="003F42D2">
        <w:rPr>
          <w:rFonts w:ascii="Times New Roman" w:hAnsi="Times New Roman"/>
        </w:rPr>
        <w:t xml:space="preserve">asking that the Commission </w:t>
      </w:r>
      <w:r w:rsidR="00191922">
        <w:rPr>
          <w:rFonts w:ascii="Times New Roman" w:hAnsi="Times New Roman"/>
        </w:rPr>
        <w:t>dismiss the Complaint with prejudice</w:t>
      </w:r>
      <w:r w:rsidR="00226E37">
        <w:rPr>
          <w:rFonts w:ascii="Times New Roman" w:hAnsi="Times New Roman"/>
        </w:rPr>
        <w:t>,</w:t>
      </w:r>
      <w:r w:rsidR="006F68D1">
        <w:rPr>
          <w:rFonts w:ascii="Times New Roman" w:hAnsi="Times New Roman"/>
        </w:rPr>
        <w:t xml:space="preserve"> c</w:t>
      </w:r>
      <w:r w:rsidR="00033862">
        <w:rPr>
          <w:rFonts w:ascii="Times New Roman" w:hAnsi="Times New Roman"/>
        </w:rPr>
        <w:t xml:space="preserve">iting 52 Pa. Code </w:t>
      </w:r>
      <w:r w:rsidR="00033862">
        <w:rPr>
          <w:rFonts w:ascii="Times New Roman" w:hAnsi="Times New Roman" w:cs="Times New Roman"/>
        </w:rPr>
        <w:t>§</w:t>
      </w:r>
      <w:r w:rsidR="00033862">
        <w:rPr>
          <w:rFonts w:ascii="Times New Roman" w:hAnsi="Times New Roman"/>
        </w:rPr>
        <w:t xml:space="preserve"> 5.101</w:t>
      </w:r>
      <w:r w:rsidR="006F68D1">
        <w:rPr>
          <w:rFonts w:ascii="Times New Roman" w:hAnsi="Times New Roman"/>
        </w:rPr>
        <w:t>(4)</w:t>
      </w:r>
      <w:r w:rsidR="008711CF">
        <w:rPr>
          <w:rFonts w:ascii="Times New Roman" w:hAnsi="Times New Roman"/>
        </w:rPr>
        <w:t>,</w:t>
      </w:r>
      <w:r w:rsidR="006F68D1">
        <w:rPr>
          <w:rFonts w:ascii="Times New Roman" w:hAnsi="Times New Roman"/>
        </w:rPr>
        <w:t xml:space="preserve"> </w:t>
      </w:r>
      <w:r w:rsidR="00556B0E">
        <w:rPr>
          <w:rFonts w:ascii="Times New Roman" w:hAnsi="Times New Roman"/>
        </w:rPr>
        <w:t xml:space="preserve">lack of </w:t>
      </w:r>
      <w:r w:rsidR="006F68D1">
        <w:rPr>
          <w:rFonts w:ascii="Times New Roman" w:hAnsi="Times New Roman"/>
        </w:rPr>
        <w:t xml:space="preserve">legal insufficiency.  </w:t>
      </w:r>
      <w:r w:rsidR="00D66B6C">
        <w:rPr>
          <w:rFonts w:ascii="Times New Roman" w:hAnsi="Times New Roman"/>
        </w:rPr>
        <w:t xml:space="preserve">Met-Ed </w:t>
      </w:r>
      <w:r w:rsidR="005A5374">
        <w:rPr>
          <w:rFonts w:ascii="Times New Roman" w:hAnsi="Times New Roman"/>
        </w:rPr>
        <w:t xml:space="preserve">also </w:t>
      </w:r>
      <w:r w:rsidR="00300060">
        <w:rPr>
          <w:rFonts w:ascii="Times New Roman" w:hAnsi="Times New Roman"/>
        </w:rPr>
        <w:t xml:space="preserve">pointed </w:t>
      </w:r>
      <w:r w:rsidR="00226E37">
        <w:rPr>
          <w:rFonts w:ascii="Times New Roman" w:hAnsi="Times New Roman"/>
        </w:rPr>
        <w:t xml:space="preserve">to </w:t>
      </w:r>
      <w:r w:rsidR="00AE3C2E">
        <w:rPr>
          <w:rFonts w:ascii="Times New Roman" w:hAnsi="Times New Roman"/>
        </w:rPr>
        <w:t>lack of specificity in the Complaint with respect to</w:t>
      </w:r>
      <w:r w:rsidR="00300060">
        <w:rPr>
          <w:rFonts w:ascii="Times New Roman" w:hAnsi="Times New Roman"/>
        </w:rPr>
        <w:t xml:space="preserve"> what provision of the Code, the Commission’s regulations </w:t>
      </w:r>
      <w:r w:rsidR="00E71CE8">
        <w:rPr>
          <w:rFonts w:ascii="Times New Roman" w:hAnsi="Times New Roman"/>
        </w:rPr>
        <w:t>or the Company’s tariff had been violate</w:t>
      </w:r>
      <w:r w:rsidR="00CD6130">
        <w:rPr>
          <w:rFonts w:ascii="Times New Roman" w:hAnsi="Times New Roman"/>
        </w:rPr>
        <w:t>d</w:t>
      </w:r>
      <w:r w:rsidR="004E79D6">
        <w:rPr>
          <w:rFonts w:ascii="Times New Roman" w:hAnsi="Times New Roman"/>
        </w:rPr>
        <w:t xml:space="preserve"> and </w:t>
      </w:r>
      <w:r w:rsidR="00D50754">
        <w:rPr>
          <w:rFonts w:ascii="Times New Roman" w:hAnsi="Times New Roman"/>
        </w:rPr>
        <w:t xml:space="preserve">then </w:t>
      </w:r>
      <w:r w:rsidR="00D66B6C">
        <w:rPr>
          <w:rFonts w:ascii="Times New Roman" w:hAnsi="Times New Roman"/>
        </w:rPr>
        <w:t xml:space="preserve">argued that the Complaint was requesting relief that the Commission could not </w:t>
      </w:r>
      <w:r w:rsidR="00226E37">
        <w:rPr>
          <w:rFonts w:ascii="Times New Roman" w:hAnsi="Times New Roman"/>
        </w:rPr>
        <w:t xml:space="preserve">lawfully </w:t>
      </w:r>
      <w:r w:rsidR="00D66B6C">
        <w:rPr>
          <w:rFonts w:ascii="Times New Roman" w:hAnsi="Times New Roman"/>
        </w:rPr>
        <w:t>grant, hence the Complaint was legally insufficient.</w:t>
      </w:r>
    </w:p>
    <w:bookmarkEnd w:id="0"/>
    <w:p w14:paraId="4C9306AF" w14:textId="77777777" w:rsidR="00B171D7" w:rsidRDefault="00B171D7" w:rsidP="006970F4">
      <w:pPr>
        <w:tabs>
          <w:tab w:val="left" w:pos="0"/>
          <w:tab w:val="left" w:pos="1440"/>
        </w:tabs>
        <w:autoSpaceDE/>
        <w:autoSpaceDN/>
        <w:spacing w:line="360" w:lineRule="auto"/>
        <w:rPr>
          <w:rFonts w:ascii="Times New Roman" w:hAnsi="Times New Roman"/>
        </w:rPr>
      </w:pPr>
    </w:p>
    <w:p w14:paraId="6B9F1E6D" w14:textId="5BA22391" w:rsidR="00B171D7" w:rsidRDefault="00B171D7" w:rsidP="006970F4">
      <w:pPr>
        <w:tabs>
          <w:tab w:val="left" w:pos="0"/>
          <w:tab w:val="left" w:pos="1440"/>
        </w:tabs>
        <w:autoSpaceDE/>
        <w:autoSpaceDN/>
        <w:spacing w:line="360" w:lineRule="auto"/>
        <w:rPr>
          <w:rFonts w:ascii="Times New Roman" w:hAnsi="Times New Roman"/>
        </w:rPr>
      </w:pPr>
      <w:r>
        <w:rPr>
          <w:rFonts w:ascii="Times New Roman" w:hAnsi="Times New Roman"/>
        </w:rPr>
        <w:lastRenderedPageBreak/>
        <w:tab/>
        <w:t>On August 21, 20</w:t>
      </w:r>
      <w:r w:rsidR="00603A97">
        <w:rPr>
          <w:rFonts w:ascii="Times New Roman" w:hAnsi="Times New Roman"/>
        </w:rPr>
        <w:t xml:space="preserve">19, Complainant filed an Answer to </w:t>
      </w:r>
      <w:proofErr w:type="spellStart"/>
      <w:r w:rsidR="00603A97">
        <w:rPr>
          <w:rFonts w:ascii="Times New Roman" w:hAnsi="Times New Roman"/>
        </w:rPr>
        <w:t>Met</w:t>
      </w:r>
      <w:proofErr w:type="spellEnd"/>
      <w:r w:rsidR="00603A97">
        <w:rPr>
          <w:rFonts w:ascii="Times New Roman" w:hAnsi="Times New Roman"/>
        </w:rPr>
        <w:t>-Ed’s New Matter.</w:t>
      </w:r>
      <w:r w:rsidR="00CC18BA">
        <w:rPr>
          <w:rFonts w:ascii="Times New Roman" w:hAnsi="Times New Roman"/>
        </w:rPr>
        <w:t xml:space="preserve">  </w:t>
      </w:r>
      <w:bookmarkStart w:id="1" w:name="_Hlk161827333"/>
      <w:r w:rsidR="00CC18BA">
        <w:rPr>
          <w:rFonts w:ascii="Times New Roman" w:hAnsi="Times New Roman"/>
        </w:rPr>
        <w:t xml:space="preserve">Complainant did not respond to </w:t>
      </w:r>
      <w:proofErr w:type="spellStart"/>
      <w:r w:rsidR="00CC18BA">
        <w:rPr>
          <w:rFonts w:ascii="Times New Roman" w:hAnsi="Times New Roman"/>
        </w:rPr>
        <w:t>Met</w:t>
      </w:r>
      <w:proofErr w:type="spellEnd"/>
      <w:r w:rsidR="00CC18BA">
        <w:rPr>
          <w:rFonts w:ascii="Times New Roman" w:hAnsi="Times New Roman"/>
        </w:rPr>
        <w:t xml:space="preserve">-Ed’s argument about </w:t>
      </w:r>
      <w:r w:rsidR="00A93EF1">
        <w:rPr>
          <w:rFonts w:ascii="Times New Roman" w:hAnsi="Times New Roman"/>
        </w:rPr>
        <w:t xml:space="preserve">lack of </w:t>
      </w:r>
      <w:r w:rsidR="00CC18BA">
        <w:rPr>
          <w:rFonts w:ascii="Times New Roman" w:hAnsi="Times New Roman"/>
        </w:rPr>
        <w:t xml:space="preserve">legal sufficiency </w:t>
      </w:r>
      <w:r w:rsidR="00E40F90">
        <w:rPr>
          <w:rFonts w:ascii="Times New Roman" w:hAnsi="Times New Roman"/>
        </w:rPr>
        <w:t>but instead renewed his assertions with respect to threatened termination of service</w:t>
      </w:r>
      <w:r w:rsidR="00A93EF1">
        <w:rPr>
          <w:rFonts w:ascii="Times New Roman" w:hAnsi="Times New Roman"/>
        </w:rPr>
        <w:t xml:space="preserve"> and then engaged in legislative analysis of Act 129 focusing on what he believed </w:t>
      </w:r>
      <w:r w:rsidR="0056213D">
        <w:rPr>
          <w:rFonts w:ascii="Times New Roman" w:hAnsi="Times New Roman"/>
        </w:rPr>
        <w:t>the</w:t>
      </w:r>
      <w:r w:rsidR="00A93EF1">
        <w:rPr>
          <w:rFonts w:ascii="Times New Roman" w:hAnsi="Times New Roman"/>
        </w:rPr>
        <w:t xml:space="preserve"> </w:t>
      </w:r>
      <w:r w:rsidR="00A54AB2">
        <w:rPr>
          <w:rFonts w:ascii="Times New Roman" w:hAnsi="Times New Roman"/>
        </w:rPr>
        <w:t xml:space="preserve">legislative intent </w:t>
      </w:r>
      <w:r w:rsidR="0056213D">
        <w:rPr>
          <w:rFonts w:ascii="Times New Roman" w:hAnsi="Times New Roman"/>
        </w:rPr>
        <w:t xml:space="preserve">to be </w:t>
      </w:r>
      <w:r w:rsidR="00A54AB2">
        <w:rPr>
          <w:rFonts w:ascii="Times New Roman" w:hAnsi="Times New Roman"/>
        </w:rPr>
        <w:t>at the time of the passage of Act 129</w:t>
      </w:r>
      <w:r w:rsidR="00482A15">
        <w:rPr>
          <w:rFonts w:ascii="Times New Roman" w:hAnsi="Times New Roman"/>
        </w:rPr>
        <w:t xml:space="preserve">.  </w:t>
      </w:r>
      <w:r w:rsidR="006D450D">
        <w:rPr>
          <w:rFonts w:ascii="Times New Roman" w:hAnsi="Times New Roman"/>
        </w:rPr>
        <w:t xml:space="preserve">In essence, </w:t>
      </w:r>
      <w:r w:rsidR="00885721">
        <w:rPr>
          <w:rFonts w:ascii="Times New Roman" w:hAnsi="Times New Roman"/>
        </w:rPr>
        <w:t>the Answer was a reiteration, in part, of the original Complaint</w:t>
      </w:r>
      <w:r w:rsidR="00731AC5">
        <w:rPr>
          <w:rFonts w:ascii="Times New Roman" w:hAnsi="Times New Roman"/>
        </w:rPr>
        <w:t xml:space="preserve"> exp</w:t>
      </w:r>
      <w:r w:rsidR="00EE61BC">
        <w:rPr>
          <w:rFonts w:ascii="Times New Roman" w:hAnsi="Times New Roman"/>
        </w:rPr>
        <w:t>a</w:t>
      </w:r>
      <w:r w:rsidR="00731AC5">
        <w:rPr>
          <w:rFonts w:ascii="Times New Roman" w:hAnsi="Times New Roman"/>
        </w:rPr>
        <w:t>nded to include an argument about legislative intent which Complainant contended would allow him to opt out of smart meter placement</w:t>
      </w:r>
      <w:r w:rsidR="00DA36F4">
        <w:rPr>
          <w:rFonts w:ascii="Times New Roman" w:hAnsi="Times New Roman"/>
        </w:rPr>
        <w:t xml:space="preserve"> also </w:t>
      </w:r>
      <w:r w:rsidR="00AF050B">
        <w:rPr>
          <w:rFonts w:ascii="Times New Roman" w:hAnsi="Times New Roman"/>
        </w:rPr>
        <w:t xml:space="preserve">making arguments with respect to the </w:t>
      </w:r>
      <w:r w:rsidR="00AB7B74">
        <w:rPr>
          <w:rFonts w:ascii="Times New Roman" w:hAnsi="Times New Roman"/>
        </w:rPr>
        <w:t>c</w:t>
      </w:r>
      <w:r w:rsidR="00AF050B">
        <w:rPr>
          <w:rFonts w:ascii="Times New Roman" w:hAnsi="Times New Roman"/>
        </w:rPr>
        <w:t>onstitutionality of Act 129</w:t>
      </w:r>
      <w:r w:rsidR="00731AC5">
        <w:rPr>
          <w:rFonts w:ascii="Times New Roman" w:hAnsi="Times New Roman"/>
        </w:rPr>
        <w:t>.</w:t>
      </w:r>
    </w:p>
    <w:bookmarkEnd w:id="1"/>
    <w:p w14:paraId="635CE947" w14:textId="77777777" w:rsidR="00C92DB4" w:rsidRDefault="00C92DB4" w:rsidP="006970F4">
      <w:pPr>
        <w:tabs>
          <w:tab w:val="left" w:pos="0"/>
          <w:tab w:val="left" w:pos="1440"/>
        </w:tabs>
        <w:autoSpaceDE/>
        <w:autoSpaceDN/>
        <w:spacing w:line="360" w:lineRule="auto"/>
        <w:rPr>
          <w:rFonts w:ascii="Times New Roman" w:hAnsi="Times New Roman"/>
        </w:rPr>
      </w:pPr>
    </w:p>
    <w:p w14:paraId="77760094" w14:textId="4F5A09DF" w:rsidR="00CE7143" w:rsidRDefault="00C92DB4" w:rsidP="00CE7143">
      <w:pPr>
        <w:tabs>
          <w:tab w:val="left" w:pos="0"/>
        </w:tabs>
        <w:autoSpaceDE/>
        <w:autoSpaceDN/>
        <w:spacing w:line="360" w:lineRule="auto"/>
        <w:rPr>
          <w:rFonts w:ascii="Times New Roman" w:hAnsi="Times New Roman"/>
        </w:rPr>
      </w:pPr>
      <w:r>
        <w:rPr>
          <w:rFonts w:ascii="Times New Roman" w:hAnsi="Times New Roman"/>
        </w:rPr>
        <w:tab/>
      </w:r>
      <w:r w:rsidR="00AA60C5">
        <w:rPr>
          <w:rFonts w:ascii="Times New Roman" w:hAnsi="Times New Roman"/>
        </w:rPr>
        <w:tab/>
        <w:t>On September 9, 20</w:t>
      </w:r>
      <w:r w:rsidR="00AA4CE6">
        <w:rPr>
          <w:rFonts w:ascii="Times New Roman" w:hAnsi="Times New Roman"/>
        </w:rPr>
        <w:t>1</w:t>
      </w:r>
      <w:r w:rsidR="00AA60C5">
        <w:rPr>
          <w:rFonts w:ascii="Times New Roman" w:hAnsi="Times New Roman"/>
        </w:rPr>
        <w:t xml:space="preserve">9, a prehearing conference was held in this matter.  </w:t>
      </w:r>
      <w:r w:rsidR="004B4821">
        <w:rPr>
          <w:rFonts w:ascii="Times New Roman" w:hAnsi="Times New Roman"/>
        </w:rPr>
        <w:t xml:space="preserve">Complainant was present and represented himself.  </w:t>
      </w:r>
      <w:r w:rsidR="00C87273">
        <w:rPr>
          <w:rFonts w:ascii="Times New Roman" w:hAnsi="Times New Roman"/>
        </w:rPr>
        <w:t xml:space="preserve">Tori L. Giesler, Esquire and </w:t>
      </w:r>
      <w:r w:rsidR="00F916DE">
        <w:rPr>
          <w:rFonts w:ascii="Times New Roman" w:hAnsi="Times New Roman"/>
        </w:rPr>
        <w:t xml:space="preserve">Lauren M. </w:t>
      </w:r>
      <w:proofErr w:type="spellStart"/>
      <w:r w:rsidR="00F916DE">
        <w:rPr>
          <w:rFonts w:ascii="Times New Roman" w:hAnsi="Times New Roman"/>
        </w:rPr>
        <w:t>Lepkoski</w:t>
      </w:r>
      <w:proofErr w:type="spellEnd"/>
      <w:r w:rsidR="00F916DE">
        <w:rPr>
          <w:rFonts w:ascii="Times New Roman" w:hAnsi="Times New Roman"/>
        </w:rPr>
        <w:t>, Esquire, appeared on behalf of Met-Ed</w:t>
      </w:r>
      <w:r w:rsidR="00B201A0">
        <w:rPr>
          <w:rFonts w:ascii="Times New Roman" w:hAnsi="Times New Roman"/>
        </w:rPr>
        <w:t>.</w:t>
      </w:r>
      <w:r w:rsidR="002951B5">
        <w:rPr>
          <w:rFonts w:ascii="Times New Roman" w:hAnsi="Times New Roman"/>
        </w:rPr>
        <w:t xml:space="preserve">  </w:t>
      </w:r>
      <w:r w:rsidR="007B2BB6" w:rsidRPr="007B2BB6">
        <w:rPr>
          <w:rFonts w:ascii="Times New Roman" w:hAnsi="Times New Roman"/>
        </w:rPr>
        <w:t xml:space="preserve">The parties were ordered to submit briefs regarding whether Act 129 requires the installation of a </w:t>
      </w:r>
      <w:r w:rsidR="00F35133">
        <w:rPr>
          <w:rFonts w:ascii="Times New Roman" w:hAnsi="Times New Roman"/>
        </w:rPr>
        <w:t>smart meter</w:t>
      </w:r>
      <w:r w:rsidR="00F35133" w:rsidRPr="00F35133">
        <w:rPr>
          <w:rFonts w:ascii="Times New Roman" w:hAnsi="Times New Roman"/>
        </w:rPr>
        <w:t xml:space="preserve"> for all customers and whether Act 129 is constitutional</w:t>
      </w:r>
      <w:r w:rsidR="00F35133">
        <w:rPr>
          <w:rFonts w:ascii="Times New Roman" w:hAnsi="Times New Roman"/>
        </w:rPr>
        <w:t xml:space="preserve"> u</w:t>
      </w:r>
      <w:r w:rsidR="00F35133" w:rsidRPr="00F35133">
        <w:rPr>
          <w:rFonts w:ascii="Times New Roman" w:hAnsi="Times New Roman"/>
        </w:rPr>
        <w:t>nder the provisions of the Pennsylvania Constitution.</w:t>
      </w:r>
      <w:r w:rsidR="00F35133">
        <w:rPr>
          <w:rFonts w:ascii="Times New Roman" w:hAnsi="Times New Roman"/>
        </w:rPr>
        <w:t xml:space="preserve">  </w:t>
      </w:r>
      <w:r w:rsidR="00CE7143" w:rsidRPr="00CE7143">
        <w:rPr>
          <w:rFonts w:ascii="Times New Roman" w:hAnsi="Times New Roman"/>
        </w:rPr>
        <w:t>Main Briefs were filed by the parties on November 5, 2019, and Reply Briefs were filed on December 20, 2019.</w:t>
      </w:r>
      <w:r w:rsidR="005461B1">
        <w:rPr>
          <w:rFonts w:ascii="Times New Roman" w:hAnsi="Times New Roman"/>
        </w:rPr>
        <w:t xml:space="preserve">  I note that during this time, appellate litigation likely to be dispositive of some of the key issues in this case was before the Commonwealth Court.</w:t>
      </w:r>
    </w:p>
    <w:p w14:paraId="1B7AD74D" w14:textId="77777777" w:rsidR="003F0331" w:rsidRPr="00CE7143" w:rsidRDefault="003F0331" w:rsidP="00CE7143">
      <w:pPr>
        <w:tabs>
          <w:tab w:val="left" w:pos="0"/>
        </w:tabs>
        <w:autoSpaceDE/>
        <w:autoSpaceDN/>
        <w:spacing w:line="360" w:lineRule="auto"/>
        <w:rPr>
          <w:rFonts w:ascii="Times New Roman" w:hAnsi="Times New Roman"/>
        </w:rPr>
      </w:pPr>
    </w:p>
    <w:p w14:paraId="6210F413" w14:textId="6B876BD4" w:rsidR="00C92DB4" w:rsidRDefault="00A623C3" w:rsidP="00AA60C5">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t xml:space="preserve">On August 17, 2020, </w:t>
      </w:r>
      <w:r w:rsidR="00DE6F73">
        <w:rPr>
          <w:rFonts w:ascii="Times New Roman" w:hAnsi="Times New Roman"/>
        </w:rPr>
        <w:t xml:space="preserve">I issued an Order </w:t>
      </w:r>
      <w:r w:rsidR="00412403">
        <w:rPr>
          <w:rFonts w:ascii="Times New Roman" w:hAnsi="Times New Roman"/>
        </w:rPr>
        <w:t xml:space="preserve">addressing the scope of the proceeding </w:t>
      </w:r>
      <w:r w:rsidR="00746A76">
        <w:rPr>
          <w:rFonts w:ascii="Times New Roman" w:hAnsi="Times New Roman"/>
        </w:rPr>
        <w:t>based on my analysis of the arguments set forth in the parties’ br</w:t>
      </w:r>
      <w:r w:rsidR="005A2041">
        <w:rPr>
          <w:rFonts w:ascii="Times New Roman" w:hAnsi="Times New Roman"/>
        </w:rPr>
        <w:t>iefs.</w:t>
      </w:r>
      <w:r w:rsidR="005461B1">
        <w:rPr>
          <w:rFonts w:ascii="Times New Roman" w:hAnsi="Times New Roman"/>
        </w:rPr>
        <w:t xml:space="preserve">  </w:t>
      </w:r>
    </w:p>
    <w:p w14:paraId="04340370" w14:textId="77777777" w:rsidR="005A2041" w:rsidRDefault="005A2041" w:rsidP="00AA60C5">
      <w:pPr>
        <w:tabs>
          <w:tab w:val="left" w:pos="0"/>
        </w:tabs>
        <w:autoSpaceDE/>
        <w:autoSpaceDN/>
        <w:spacing w:line="360" w:lineRule="auto"/>
        <w:rPr>
          <w:rFonts w:ascii="Times New Roman" w:hAnsi="Times New Roman"/>
        </w:rPr>
      </w:pPr>
    </w:p>
    <w:p w14:paraId="05C018CE" w14:textId="18C08498" w:rsidR="00470BC9" w:rsidRDefault="005A2041" w:rsidP="009B02AA">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At the same time that</w:t>
      </w:r>
      <w:proofErr w:type="gramEnd"/>
      <w:r>
        <w:rPr>
          <w:rFonts w:ascii="Times New Roman" w:hAnsi="Times New Roman"/>
        </w:rPr>
        <w:t xml:space="preserve"> this case was going forward, many other cases were being heard before the Commission on similar </w:t>
      </w:r>
      <w:r w:rsidR="00447577">
        <w:rPr>
          <w:rFonts w:ascii="Times New Roman" w:hAnsi="Times New Roman"/>
        </w:rPr>
        <w:t>(and in some cases identical</w:t>
      </w:r>
      <w:r w:rsidR="0080698A">
        <w:rPr>
          <w:rFonts w:ascii="Times New Roman" w:hAnsi="Times New Roman"/>
        </w:rPr>
        <w:t>)</w:t>
      </w:r>
      <w:r w:rsidR="00447577">
        <w:rPr>
          <w:rFonts w:ascii="Times New Roman" w:hAnsi="Times New Roman"/>
        </w:rPr>
        <w:t xml:space="preserve"> issues.  </w:t>
      </w:r>
      <w:r w:rsidR="00083501">
        <w:rPr>
          <w:rFonts w:ascii="Times New Roman" w:hAnsi="Times New Roman"/>
        </w:rPr>
        <w:t xml:space="preserve">A number of </w:t>
      </w:r>
      <w:r w:rsidR="008D6744">
        <w:rPr>
          <w:rFonts w:ascii="Times New Roman" w:hAnsi="Times New Roman"/>
        </w:rPr>
        <w:t xml:space="preserve">these “smart meter </w:t>
      </w:r>
      <w:r w:rsidR="00083501">
        <w:rPr>
          <w:rFonts w:ascii="Times New Roman" w:hAnsi="Times New Roman"/>
        </w:rPr>
        <w:t>cases</w:t>
      </w:r>
      <w:r w:rsidR="008D6744">
        <w:rPr>
          <w:rFonts w:ascii="Times New Roman" w:hAnsi="Times New Roman"/>
        </w:rPr>
        <w:t>,”</w:t>
      </w:r>
      <w:r w:rsidR="00083501">
        <w:rPr>
          <w:rFonts w:ascii="Times New Roman" w:hAnsi="Times New Roman"/>
        </w:rPr>
        <w:t xml:space="preserve"> heard before other </w:t>
      </w:r>
      <w:r w:rsidR="009B02AA" w:rsidRPr="009B02AA">
        <w:rPr>
          <w:rFonts w:ascii="Times New Roman" w:hAnsi="Times New Roman"/>
        </w:rPr>
        <w:t>Administrative Law Judge (ALJ</w:t>
      </w:r>
      <w:r w:rsidR="006B4CD7">
        <w:rPr>
          <w:rFonts w:ascii="Times New Roman" w:hAnsi="Times New Roman"/>
        </w:rPr>
        <w:t xml:space="preserve">s) </w:t>
      </w:r>
      <w:r w:rsidR="0071580F">
        <w:rPr>
          <w:rFonts w:ascii="Times New Roman" w:hAnsi="Times New Roman"/>
        </w:rPr>
        <w:t xml:space="preserve">had been adjudicated and </w:t>
      </w:r>
      <w:r w:rsidR="00AB7EF9">
        <w:rPr>
          <w:rFonts w:ascii="Times New Roman" w:hAnsi="Times New Roman"/>
        </w:rPr>
        <w:t xml:space="preserve">had </w:t>
      </w:r>
      <w:r w:rsidR="00055A67">
        <w:rPr>
          <w:rFonts w:ascii="Times New Roman" w:hAnsi="Times New Roman"/>
        </w:rPr>
        <w:t>moved on to appeals before the Commonwealth Court</w:t>
      </w:r>
      <w:r w:rsidR="005461B1">
        <w:rPr>
          <w:rFonts w:ascii="Times New Roman" w:hAnsi="Times New Roman"/>
        </w:rPr>
        <w:t xml:space="preserve"> as noted, above</w:t>
      </w:r>
      <w:r w:rsidR="009B02AA">
        <w:rPr>
          <w:rFonts w:ascii="Times New Roman" w:hAnsi="Times New Roman"/>
        </w:rPr>
        <w:t xml:space="preserve">.  </w:t>
      </w:r>
      <w:r w:rsidR="005461B1">
        <w:rPr>
          <w:rFonts w:ascii="Times New Roman" w:hAnsi="Times New Roman"/>
        </w:rPr>
        <w:t>A</w:t>
      </w:r>
      <w:r w:rsidR="00343D69">
        <w:rPr>
          <w:rFonts w:ascii="Times New Roman" w:hAnsi="Times New Roman"/>
        </w:rPr>
        <w:t xml:space="preserve"> number of those cases</w:t>
      </w:r>
      <w:r w:rsidR="005461B1">
        <w:rPr>
          <w:rFonts w:ascii="Times New Roman" w:hAnsi="Times New Roman"/>
        </w:rPr>
        <w:t>, which had been consolidated on appeal,</w:t>
      </w:r>
      <w:r w:rsidR="00343D69">
        <w:rPr>
          <w:rFonts w:ascii="Times New Roman" w:hAnsi="Times New Roman"/>
        </w:rPr>
        <w:t xml:space="preserve"> were decided </w:t>
      </w:r>
      <w:r w:rsidR="003B1F7E">
        <w:rPr>
          <w:rFonts w:ascii="Times New Roman" w:hAnsi="Times New Roman"/>
        </w:rPr>
        <w:t xml:space="preserve">by the Commonwealth Court, </w:t>
      </w:r>
      <w:r w:rsidR="00343D69">
        <w:rPr>
          <w:rFonts w:ascii="Times New Roman" w:hAnsi="Times New Roman"/>
        </w:rPr>
        <w:t xml:space="preserve">and a copy of the Commonwealth Court’s </w:t>
      </w:r>
      <w:r w:rsidR="00FB43A8">
        <w:rPr>
          <w:rFonts w:ascii="Times New Roman" w:hAnsi="Times New Roman"/>
        </w:rPr>
        <w:t xml:space="preserve">decision in </w:t>
      </w:r>
      <w:r w:rsidR="00FB43A8" w:rsidRPr="003C027F">
        <w:rPr>
          <w:rFonts w:ascii="Times New Roman" w:hAnsi="Times New Roman"/>
          <w:i/>
          <w:iCs/>
        </w:rPr>
        <w:t>Povacz et al. v. PUC</w:t>
      </w:r>
      <w:r w:rsidR="00276DC3">
        <w:rPr>
          <w:rFonts w:ascii="Times New Roman" w:hAnsi="Times New Roman"/>
          <w:i/>
          <w:iCs/>
        </w:rPr>
        <w:t xml:space="preserve">, </w:t>
      </w:r>
      <w:r w:rsidR="00276DC3" w:rsidRPr="00276DC3">
        <w:rPr>
          <w:rFonts w:ascii="Times New Roman" w:hAnsi="Times New Roman"/>
        </w:rPr>
        <w:t>No. 492 C</w:t>
      </w:r>
      <w:r w:rsidR="00B94BCD">
        <w:rPr>
          <w:rFonts w:ascii="Times New Roman" w:hAnsi="Times New Roman"/>
        </w:rPr>
        <w:t>.</w:t>
      </w:r>
      <w:r w:rsidR="00276DC3" w:rsidRPr="00276DC3">
        <w:rPr>
          <w:rFonts w:ascii="Times New Roman" w:hAnsi="Times New Roman"/>
        </w:rPr>
        <w:t>D</w:t>
      </w:r>
      <w:r w:rsidR="00B94BCD">
        <w:rPr>
          <w:rFonts w:ascii="Times New Roman" w:hAnsi="Times New Roman"/>
        </w:rPr>
        <w:t>.</w:t>
      </w:r>
      <w:r w:rsidR="00276DC3" w:rsidRPr="00276DC3">
        <w:rPr>
          <w:rFonts w:ascii="Times New Roman" w:hAnsi="Times New Roman"/>
        </w:rPr>
        <w:t xml:space="preserve"> 2019</w:t>
      </w:r>
      <w:r w:rsidR="00820291">
        <w:rPr>
          <w:rFonts w:ascii="Times New Roman" w:hAnsi="Times New Roman"/>
        </w:rPr>
        <w:t xml:space="preserve"> (October 8, 2020)</w:t>
      </w:r>
      <w:r w:rsidR="00FB43A8">
        <w:rPr>
          <w:rFonts w:ascii="Times New Roman" w:hAnsi="Times New Roman"/>
        </w:rPr>
        <w:t xml:space="preserve"> </w:t>
      </w:r>
      <w:r w:rsidR="003C027F">
        <w:rPr>
          <w:rFonts w:ascii="Times New Roman" w:hAnsi="Times New Roman"/>
        </w:rPr>
        <w:t>(</w:t>
      </w:r>
      <w:r w:rsidR="00C01AA6">
        <w:rPr>
          <w:rFonts w:ascii="Times New Roman" w:hAnsi="Times New Roman"/>
        </w:rPr>
        <w:t xml:space="preserve">hereinafter, </w:t>
      </w:r>
      <w:r w:rsidR="003C027F" w:rsidRPr="003C027F">
        <w:rPr>
          <w:rFonts w:ascii="Times New Roman" w:hAnsi="Times New Roman"/>
          <w:i/>
          <w:iCs/>
        </w:rPr>
        <w:t>Povacz I</w:t>
      </w:r>
      <w:r w:rsidR="003C027F">
        <w:rPr>
          <w:rFonts w:ascii="Times New Roman" w:hAnsi="Times New Roman"/>
        </w:rPr>
        <w:t>) was provided to Complainant</w:t>
      </w:r>
      <w:r w:rsidR="00280384">
        <w:rPr>
          <w:rFonts w:ascii="Times New Roman" w:hAnsi="Times New Roman"/>
        </w:rPr>
        <w:t>.</w:t>
      </w:r>
      <w:r w:rsidR="005461B1">
        <w:rPr>
          <w:rFonts w:ascii="Times New Roman" w:hAnsi="Times New Roman"/>
        </w:rPr>
        <w:t xml:space="preserve">  </w:t>
      </w:r>
      <w:proofErr w:type="gramStart"/>
      <w:r w:rsidR="005461B1" w:rsidRPr="001507E8">
        <w:rPr>
          <w:rFonts w:ascii="Times New Roman" w:hAnsi="Times New Roman"/>
          <w:i/>
          <w:iCs/>
        </w:rPr>
        <w:t>Povacz</w:t>
      </w:r>
      <w:proofErr w:type="gramEnd"/>
      <w:r w:rsidR="005461B1" w:rsidRPr="001507E8">
        <w:rPr>
          <w:rFonts w:ascii="Times New Roman" w:hAnsi="Times New Roman"/>
          <w:i/>
          <w:iCs/>
        </w:rPr>
        <w:t xml:space="preserve"> I</w:t>
      </w:r>
      <w:r w:rsidR="005461B1">
        <w:rPr>
          <w:rFonts w:ascii="Times New Roman" w:hAnsi="Times New Roman"/>
        </w:rPr>
        <w:t xml:space="preserve"> overturned the decision of the Commission with respect to the applicability of Act 129</w:t>
      </w:r>
      <w:r w:rsidR="001507E8">
        <w:rPr>
          <w:rFonts w:ascii="Times New Roman" w:hAnsi="Times New Roman"/>
        </w:rPr>
        <w:t>, generally, and remanded those cases.</w:t>
      </w:r>
    </w:p>
    <w:p w14:paraId="6B73F5DD" w14:textId="77777777" w:rsidR="00470BC9" w:rsidRDefault="00470BC9" w:rsidP="009B02AA">
      <w:pPr>
        <w:tabs>
          <w:tab w:val="left" w:pos="0"/>
        </w:tabs>
        <w:autoSpaceDE/>
        <w:autoSpaceDN/>
        <w:spacing w:line="360" w:lineRule="auto"/>
        <w:rPr>
          <w:rFonts w:ascii="Times New Roman" w:hAnsi="Times New Roman"/>
        </w:rPr>
      </w:pPr>
    </w:p>
    <w:p w14:paraId="2E32C2B1" w14:textId="4E433145" w:rsidR="0075133A" w:rsidRDefault="00627344" w:rsidP="009B02AA">
      <w:pPr>
        <w:tabs>
          <w:tab w:val="left" w:pos="0"/>
        </w:tabs>
        <w:autoSpaceDE/>
        <w:autoSpaceDN/>
        <w:spacing w:line="360" w:lineRule="auto"/>
        <w:rPr>
          <w:rFonts w:ascii="Times New Roman" w:hAnsi="Times New Roman"/>
        </w:rPr>
      </w:pPr>
      <w:r>
        <w:rPr>
          <w:rFonts w:ascii="Times New Roman" w:hAnsi="Times New Roman"/>
        </w:rPr>
        <w:lastRenderedPageBreak/>
        <w:tab/>
      </w:r>
      <w:r>
        <w:rPr>
          <w:rFonts w:ascii="Times New Roman" w:hAnsi="Times New Roman"/>
        </w:rPr>
        <w:tab/>
        <w:t xml:space="preserve">On October 22, 2020, a further prehearing conference took place </w:t>
      </w:r>
      <w:proofErr w:type="gramStart"/>
      <w:r w:rsidR="00E60282">
        <w:rPr>
          <w:rFonts w:ascii="Times New Roman" w:hAnsi="Times New Roman"/>
        </w:rPr>
        <w:t>subsequent to</w:t>
      </w:r>
      <w:proofErr w:type="gramEnd"/>
      <w:r w:rsidR="00E60282">
        <w:rPr>
          <w:rFonts w:ascii="Times New Roman" w:hAnsi="Times New Roman"/>
        </w:rPr>
        <w:t xml:space="preserve"> the decision in </w:t>
      </w:r>
      <w:r w:rsidR="00E60282" w:rsidRPr="00971B1D">
        <w:rPr>
          <w:rFonts w:ascii="Times New Roman" w:hAnsi="Times New Roman"/>
          <w:i/>
          <w:iCs/>
        </w:rPr>
        <w:t>Povacz I</w:t>
      </w:r>
      <w:r w:rsidR="00971B1D">
        <w:rPr>
          <w:rFonts w:ascii="Times New Roman" w:hAnsi="Times New Roman"/>
        </w:rPr>
        <w:t xml:space="preserve"> </w:t>
      </w:r>
      <w:r>
        <w:rPr>
          <w:rFonts w:ascii="Times New Roman" w:hAnsi="Times New Roman"/>
        </w:rPr>
        <w:t>with Mr. Hoeft again representing himself and Attorney</w:t>
      </w:r>
      <w:r w:rsidR="001A24CA">
        <w:rPr>
          <w:rFonts w:ascii="Times New Roman" w:hAnsi="Times New Roman"/>
        </w:rPr>
        <w:t xml:space="preserve"> Giesler and Attorney </w:t>
      </w:r>
      <w:proofErr w:type="spellStart"/>
      <w:r w:rsidR="001A24CA">
        <w:rPr>
          <w:rFonts w:ascii="Times New Roman" w:hAnsi="Times New Roman"/>
        </w:rPr>
        <w:t>Lepkoski</w:t>
      </w:r>
      <w:proofErr w:type="spellEnd"/>
      <w:r w:rsidR="001A24CA">
        <w:rPr>
          <w:rFonts w:ascii="Times New Roman" w:hAnsi="Times New Roman"/>
        </w:rPr>
        <w:t xml:space="preserve"> representing Met-Ed</w:t>
      </w:r>
      <w:r w:rsidR="00E76247">
        <w:rPr>
          <w:rFonts w:ascii="Times New Roman" w:hAnsi="Times New Roman"/>
        </w:rPr>
        <w:t xml:space="preserve">.  </w:t>
      </w:r>
      <w:r w:rsidR="00280384">
        <w:rPr>
          <w:rFonts w:ascii="Times New Roman" w:hAnsi="Times New Roman"/>
        </w:rPr>
        <w:t xml:space="preserve"> A discussion with the parties took place, and </w:t>
      </w:r>
      <w:r w:rsidR="00890A01">
        <w:rPr>
          <w:rFonts w:ascii="Times New Roman" w:hAnsi="Times New Roman"/>
        </w:rPr>
        <w:t xml:space="preserve">it was agreed that the litigation of this case would be stayed as it was </w:t>
      </w:r>
      <w:r w:rsidR="00971B1D">
        <w:rPr>
          <w:rFonts w:ascii="Times New Roman" w:hAnsi="Times New Roman"/>
        </w:rPr>
        <w:t>virtually certain</w:t>
      </w:r>
      <w:r w:rsidR="00890A01">
        <w:rPr>
          <w:rFonts w:ascii="Times New Roman" w:hAnsi="Times New Roman"/>
        </w:rPr>
        <w:t xml:space="preserve"> that the Commission would appeal the Commonwealth Court’s ruling in </w:t>
      </w:r>
      <w:r w:rsidR="00890A01" w:rsidRPr="00563F7F">
        <w:rPr>
          <w:rFonts w:ascii="Times New Roman" w:hAnsi="Times New Roman"/>
          <w:i/>
          <w:iCs/>
        </w:rPr>
        <w:t>Povacz I</w:t>
      </w:r>
      <w:r w:rsidR="00890A01">
        <w:rPr>
          <w:rFonts w:ascii="Times New Roman" w:hAnsi="Times New Roman"/>
        </w:rPr>
        <w:t xml:space="preserve"> to the </w:t>
      </w:r>
      <w:r w:rsidR="00563F7F">
        <w:rPr>
          <w:rFonts w:ascii="Times New Roman" w:hAnsi="Times New Roman"/>
        </w:rPr>
        <w:t xml:space="preserve">Pennsylvania Supreme Court.  </w:t>
      </w:r>
      <w:r w:rsidR="001507E8">
        <w:rPr>
          <w:rFonts w:ascii="Times New Roman" w:hAnsi="Times New Roman"/>
        </w:rPr>
        <w:t xml:space="preserve">That appeal was filed, and </w:t>
      </w:r>
      <w:r w:rsidR="00563F7F">
        <w:rPr>
          <w:rFonts w:ascii="Times New Roman" w:hAnsi="Times New Roman"/>
        </w:rPr>
        <w:t xml:space="preserve">further action </w:t>
      </w:r>
      <w:r w:rsidR="00C01AA6">
        <w:rPr>
          <w:rFonts w:ascii="Times New Roman" w:hAnsi="Times New Roman"/>
        </w:rPr>
        <w:t xml:space="preserve">by the undersigned </w:t>
      </w:r>
      <w:r w:rsidR="00563F7F">
        <w:rPr>
          <w:rFonts w:ascii="Times New Roman" w:hAnsi="Times New Roman"/>
        </w:rPr>
        <w:t xml:space="preserve">was unnecessary because </w:t>
      </w:r>
      <w:r w:rsidR="00FC1041">
        <w:rPr>
          <w:rFonts w:ascii="Times New Roman" w:hAnsi="Times New Roman"/>
        </w:rPr>
        <w:t>b</w:t>
      </w:r>
      <w:r w:rsidR="00BD0B69" w:rsidRPr="00BD0B69">
        <w:rPr>
          <w:rFonts w:ascii="Times New Roman" w:hAnsi="Times New Roman"/>
        </w:rPr>
        <w:t xml:space="preserve">y Order entered November 4, 2020, the Commission directed that the Secretary identify each </w:t>
      </w:r>
      <w:r w:rsidR="00BD0B69">
        <w:rPr>
          <w:rFonts w:ascii="Times New Roman" w:hAnsi="Times New Roman"/>
        </w:rPr>
        <w:t xml:space="preserve">smart meter </w:t>
      </w:r>
      <w:r w:rsidR="00BD0B69" w:rsidRPr="00BD0B69">
        <w:rPr>
          <w:rFonts w:ascii="Times New Roman" w:hAnsi="Times New Roman"/>
        </w:rPr>
        <w:t xml:space="preserve">case pending before an </w:t>
      </w:r>
      <w:r w:rsidR="006B4CD7">
        <w:rPr>
          <w:rFonts w:ascii="Times New Roman" w:hAnsi="Times New Roman"/>
        </w:rPr>
        <w:t xml:space="preserve">ALJ </w:t>
      </w:r>
      <w:r w:rsidR="00BD0B69" w:rsidRPr="00BD0B69">
        <w:rPr>
          <w:rFonts w:ascii="Times New Roman" w:hAnsi="Times New Roman"/>
        </w:rPr>
        <w:t>or before the Office of Special Assistants that involve</w:t>
      </w:r>
      <w:r w:rsidR="00674C13">
        <w:rPr>
          <w:rFonts w:ascii="Times New Roman" w:hAnsi="Times New Roman"/>
        </w:rPr>
        <w:t>d</w:t>
      </w:r>
      <w:r w:rsidR="00BD0B69" w:rsidRPr="00BD0B69">
        <w:rPr>
          <w:rFonts w:ascii="Times New Roman" w:hAnsi="Times New Roman"/>
        </w:rPr>
        <w:t xml:space="preserve"> challenges to smart meter technology deployment where no initial decision has yet been issued by an ALJ </w:t>
      </w:r>
      <w:r w:rsidR="00674C13">
        <w:rPr>
          <w:rFonts w:ascii="Times New Roman" w:hAnsi="Times New Roman"/>
        </w:rPr>
        <w:t xml:space="preserve">or </w:t>
      </w:r>
      <w:r w:rsidR="00BD0B69" w:rsidRPr="00BD0B69">
        <w:rPr>
          <w:rFonts w:ascii="Times New Roman" w:hAnsi="Times New Roman"/>
        </w:rPr>
        <w:t xml:space="preserve">where no </w:t>
      </w:r>
      <w:r w:rsidR="00674C13">
        <w:rPr>
          <w:rFonts w:ascii="Times New Roman" w:hAnsi="Times New Roman"/>
        </w:rPr>
        <w:t>F</w:t>
      </w:r>
      <w:r w:rsidR="00BD0B69" w:rsidRPr="00BD0B69">
        <w:rPr>
          <w:rFonts w:ascii="Times New Roman" w:hAnsi="Times New Roman"/>
        </w:rPr>
        <w:t xml:space="preserve">inal </w:t>
      </w:r>
      <w:r w:rsidR="00674C13">
        <w:rPr>
          <w:rFonts w:ascii="Times New Roman" w:hAnsi="Times New Roman"/>
        </w:rPr>
        <w:t>O</w:t>
      </w:r>
      <w:r w:rsidR="00BD0B69" w:rsidRPr="00BD0B69">
        <w:rPr>
          <w:rFonts w:ascii="Times New Roman" w:hAnsi="Times New Roman"/>
        </w:rPr>
        <w:t>rder ha</w:t>
      </w:r>
      <w:r w:rsidR="00390BFB">
        <w:rPr>
          <w:rFonts w:ascii="Times New Roman" w:hAnsi="Times New Roman"/>
        </w:rPr>
        <w:t>d</w:t>
      </w:r>
      <w:r w:rsidR="00BD0B69" w:rsidRPr="00BD0B69">
        <w:rPr>
          <w:rFonts w:ascii="Times New Roman" w:hAnsi="Times New Roman"/>
        </w:rPr>
        <w:t xml:space="preserve"> yet been considered by the Commission.</w:t>
      </w:r>
      <w:r w:rsidR="000A2F78">
        <w:rPr>
          <w:rStyle w:val="FootnoteReference"/>
          <w:rFonts w:ascii="Times New Roman" w:hAnsi="Times New Roman"/>
        </w:rPr>
        <w:footnoteReference w:id="1"/>
      </w:r>
      <w:r w:rsidR="00BD0B69">
        <w:rPr>
          <w:rFonts w:ascii="Times New Roman" w:hAnsi="Times New Roman"/>
        </w:rPr>
        <w:t xml:space="preserve">  This case was among the cases so identified</w:t>
      </w:r>
      <w:r w:rsidR="005D2E3E">
        <w:rPr>
          <w:rFonts w:ascii="Times New Roman" w:hAnsi="Times New Roman"/>
        </w:rPr>
        <w:t xml:space="preserve">, and the case was stayed </w:t>
      </w:r>
      <w:r w:rsidR="00602900">
        <w:rPr>
          <w:rFonts w:ascii="Times New Roman" w:hAnsi="Times New Roman"/>
        </w:rPr>
        <w:t>by the Commission.</w:t>
      </w:r>
    </w:p>
    <w:p w14:paraId="4327CCF4" w14:textId="77777777" w:rsidR="00602900" w:rsidRDefault="00602900" w:rsidP="00D7108A">
      <w:pPr>
        <w:tabs>
          <w:tab w:val="left" w:pos="0"/>
          <w:tab w:val="left" w:pos="1440"/>
        </w:tabs>
        <w:autoSpaceDE/>
        <w:autoSpaceDN/>
        <w:spacing w:line="360" w:lineRule="auto"/>
        <w:rPr>
          <w:rFonts w:ascii="Times New Roman" w:hAnsi="Times New Roman"/>
        </w:rPr>
      </w:pPr>
    </w:p>
    <w:p w14:paraId="1F962648" w14:textId="69BEB9DA" w:rsidR="00602900" w:rsidRDefault="00602900"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7B0708">
        <w:rPr>
          <w:rFonts w:ascii="Times New Roman" w:hAnsi="Times New Roman"/>
        </w:rPr>
        <w:t>Approximately t</w:t>
      </w:r>
      <w:r w:rsidR="00647EA2">
        <w:rPr>
          <w:rFonts w:ascii="Times New Roman" w:hAnsi="Times New Roman"/>
        </w:rPr>
        <w:t xml:space="preserve">hree years later, </w:t>
      </w:r>
      <w:r w:rsidR="00390BFB">
        <w:rPr>
          <w:rFonts w:ascii="Times New Roman" w:hAnsi="Times New Roman"/>
        </w:rPr>
        <w:t xml:space="preserve">the Pennsylvania Supreme Court </w:t>
      </w:r>
      <w:r w:rsidR="0052617D">
        <w:rPr>
          <w:rFonts w:ascii="Times New Roman" w:hAnsi="Times New Roman"/>
        </w:rPr>
        <w:t xml:space="preserve">reversed the decision of the Commonwealth Court </w:t>
      </w:r>
      <w:r w:rsidR="00983837">
        <w:rPr>
          <w:rFonts w:ascii="Times New Roman" w:hAnsi="Times New Roman"/>
        </w:rPr>
        <w:t xml:space="preserve">in </w:t>
      </w:r>
      <w:r w:rsidR="00983837" w:rsidRPr="00983837">
        <w:rPr>
          <w:rFonts w:ascii="Times New Roman" w:hAnsi="Times New Roman"/>
          <w:i/>
          <w:iCs/>
        </w:rPr>
        <w:t>Povacz I</w:t>
      </w:r>
      <w:r w:rsidR="00983837">
        <w:rPr>
          <w:rFonts w:ascii="Times New Roman" w:hAnsi="Times New Roman"/>
        </w:rPr>
        <w:t xml:space="preserve"> </w:t>
      </w:r>
      <w:r w:rsidR="0052617D">
        <w:rPr>
          <w:rFonts w:ascii="Times New Roman" w:hAnsi="Times New Roman"/>
        </w:rPr>
        <w:t xml:space="preserve">and provided clear directives with respect to the litigation of </w:t>
      </w:r>
      <w:r w:rsidR="00FF7463">
        <w:rPr>
          <w:rFonts w:ascii="Times New Roman" w:hAnsi="Times New Roman"/>
        </w:rPr>
        <w:t xml:space="preserve">smart meter cases before the Commission.  That Supreme Court Decision was issued in </w:t>
      </w:r>
      <w:bookmarkStart w:id="2" w:name="_Hlk161829412"/>
      <w:r w:rsidR="00FF7463" w:rsidRPr="00FF7463">
        <w:rPr>
          <w:rFonts w:ascii="Times New Roman" w:hAnsi="Times New Roman"/>
          <w:i/>
          <w:iCs/>
        </w:rPr>
        <w:t>Povacz, et al. v. Pa. Public Utility Commission</w:t>
      </w:r>
      <w:r w:rsidR="00FF7463" w:rsidRPr="00FF7463">
        <w:rPr>
          <w:rFonts w:ascii="Times New Roman" w:hAnsi="Times New Roman"/>
        </w:rPr>
        <w:t>, 280 A.3d 975 (Pa. 2022) (</w:t>
      </w:r>
      <w:r w:rsidR="00FF7463" w:rsidRPr="00FF7463">
        <w:rPr>
          <w:rFonts w:ascii="Times New Roman" w:hAnsi="Times New Roman"/>
          <w:i/>
          <w:iCs/>
        </w:rPr>
        <w:t>Povacz II</w:t>
      </w:r>
      <w:r w:rsidR="00FF7463" w:rsidRPr="00FF7463">
        <w:rPr>
          <w:rFonts w:ascii="Times New Roman" w:hAnsi="Times New Roman"/>
        </w:rPr>
        <w:t>)</w:t>
      </w:r>
      <w:r w:rsidR="002D67F8">
        <w:rPr>
          <w:rFonts w:ascii="Times New Roman" w:hAnsi="Times New Roman"/>
        </w:rPr>
        <w:t xml:space="preserve">.  </w:t>
      </w:r>
      <w:bookmarkEnd w:id="2"/>
      <w:r w:rsidR="002D67F8">
        <w:rPr>
          <w:rFonts w:ascii="Times New Roman" w:hAnsi="Times New Roman"/>
        </w:rPr>
        <w:t xml:space="preserve">Subsequently, on </w:t>
      </w:r>
      <w:r w:rsidR="00834308">
        <w:rPr>
          <w:rFonts w:ascii="Times New Roman" w:hAnsi="Times New Roman"/>
        </w:rPr>
        <w:t xml:space="preserve">November 14, 2023, the Commission </w:t>
      </w:r>
      <w:r w:rsidR="00647EA2">
        <w:rPr>
          <w:rFonts w:ascii="Times New Roman" w:hAnsi="Times New Roman"/>
        </w:rPr>
        <w:t xml:space="preserve">again </w:t>
      </w:r>
      <w:r w:rsidR="00834308">
        <w:rPr>
          <w:rFonts w:ascii="Times New Roman" w:hAnsi="Times New Roman"/>
        </w:rPr>
        <w:t xml:space="preserve">issued an Order at </w:t>
      </w:r>
      <w:bookmarkStart w:id="3" w:name="_Hlk161829525"/>
      <w:r w:rsidR="004B4BBB" w:rsidRPr="00CF55AB">
        <w:rPr>
          <w:rFonts w:ascii="Times New Roman" w:hAnsi="Times New Roman"/>
          <w:i/>
          <w:iCs/>
        </w:rPr>
        <w:t>Smart Meter Procurement and Installation</w:t>
      </w:r>
      <w:r w:rsidR="00CF55AB">
        <w:rPr>
          <w:rFonts w:ascii="Times New Roman" w:hAnsi="Times New Roman"/>
        </w:rPr>
        <w:t xml:space="preserve">, </w:t>
      </w:r>
      <w:r w:rsidR="00834308">
        <w:rPr>
          <w:rFonts w:ascii="Times New Roman" w:hAnsi="Times New Roman"/>
        </w:rPr>
        <w:t xml:space="preserve">Docket No. </w:t>
      </w:r>
      <w:r w:rsidR="00834308" w:rsidRPr="00834308">
        <w:rPr>
          <w:rFonts w:ascii="Times New Roman" w:hAnsi="Times New Roman"/>
        </w:rPr>
        <w:t>M-2009-2092655</w:t>
      </w:r>
      <w:bookmarkEnd w:id="3"/>
      <w:r w:rsidR="00CF55AB">
        <w:rPr>
          <w:rFonts w:ascii="Times New Roman" w:hAnsi="Times New Roman"/>
        </w:rPr>
        <w:t xml:space="preserve">, </w:t>
      </w:r>
      <w:r w:rsidR="00EA6731">
        <w:rPr>
          <w:rFonts w:ascii="Times New Roman" w:hAnsi="Times New Roman"/>
        </w:rPr>
        <w:t xml:space="preserve">this time </w:t>
      </w:r>
      <w:r w:rsidR="00CF55AB">
        <w:rPr>
          <w:rFonts w:ascii="Times New Roman" w:hAnsi="Times New Roman"/>
        </w:rPr>
        <w:t xml:space="preserve">lifting the stay </w:t>
      </w:r>
      <w:r w:rsidR="002D67F8">
        <w:rPr>
          <w:rFonts w:ascii="Times New Roman" w:hAnsi="Times New Roman"/>
        </w:rPr>
        <w:t xml:space="preserve">on all smart meter cases pending litigation </w:t>
      </w:r>
      <w:r w:rsidR="00CF55AB">
        <w:rPr>
          <w:rFonts w:ascii="Times New Roman" w:hAnsi="Times New Roman"/>
        </w:rPr>
        <w:t>and</w:t>
      </w:r>
      <w:r w:rsidR="009B72CC">
        <w:rPr>
          <w:rFonts w:ascii="Times New Roman" w:hAnsi="Times New Roman"/>
        </w:rPr>
        <w:t xml:space="preserve"> </w:t>
      </w:r>
      <w:r w:rsidR="001507E8">
        <w:rPr>
          <w:rFonts w:ascii="Times New Roman" w:hAnsi="Times New Roman"/>
        </w:rPr>
        <w:t>directing</w:t>
      </w:r>
      <w:r w:rsidR="009B72CC">
        <w:rPr>
          <w:rFonts w:ascii="Times New Roman" w:hAnsi="Times New Roman"/>
        </w:rPr>
        <w:t xml:space="preserve"> the Office of Administrative Law Judge </w:t>
      </w:r>
      <w:r w:rsidR="00EF47FC">
        <w:rPr>
          <w:rFonts w:ascii="Times New Roman" w:hAnsi="Times New Roman"/>
        </w:rPr>
        <w:t xml:space="preserve">to proceed with the litigation of </w:t>
      </w:r>
      <w:r w:rsidR="002707F0">
        <w:rPr>
          <w:rFonts w:ascii="Times New Roman" w:hAnsi="Times New Roman"/>
        </w:rPr>
        <w:t xml:space="preserve">all pending </w:t>
      </w:r>
      <w:r w:rsidR="00B90C6D">
        <w:rPr>
          <w:rFonts w:ascii="Times New Roman" w:hAnsi="Times New Roman"/>
        </w:rPr>
        <w:t xml:space="preserve">smart meter </w:t>
      </w:r>
      <w:r w:rsidR="00EF47FC">
        <w:rPr>
          <w:rFonts w:ascii="Times New Roman" w:hAnsi="Times New Roman"/>
        </w:rPr>
        <w:t>cases</w:t>
      </w:r>
      <w:r w:rsidR="00B90C6D">
        <w:rPr>
          <w:rFonts w:ascii="Times New Roman" w:hAnsi="Times New Roman"/>
        </w:rPr>
        <w:t>, including the case at this docket</w:t>
      </w:r>
      <w:r w:rsidR="001507E8">
        <w:rPr>
          <w:rFonts w:ascii="Times New Roman" w:hAnsi="Times New Roman"/>
        </w:rPr>
        <w:t xml:space="preserve">, applying the decision in </w:t>
      </w:r>
      <w:r w:rsidR="001507E8" w:rsidRPr="001507E8">
        <w:rPr>
          <w:rFonts w:ascii="Times New Roman" w:hAnsi="Times New Roman"/>
          <w:i/>
          <w:iCs/>
        </w:rPr>
        <w:t>Povacz II</w:t>
      </w:r>
      <w:r w:rsidR="001507E8">
        <w:rPr>
          <w:rFonts w:ascii="Times New Roman" w:hAnsi="Times New Roman"/>
        </w:rPr>
        <w:t>.</w:t>
      </w:r>
    </w:p>
    <w:p w14:paraId="0C25BDBC" w14:textId="77777777" w:rsidR="00122CE0" w:rsidRDefault="00122CE0" w:rsidP="00D7108A">
      <w:pPr>
        <w:tabs>
          <w:tab w:val="left" w:pos="0"/>
          <w:tab w:val="left" w:pos="1440"/>
        </w:tabs>
        <w:autoSpaceDE/>
        <w:autoSpaceDN/>
        <w:spacing w:line="360" w:lineRule="auto"/>
        <w:rPr>
          <w:rFonts w:ascii="Times New Roman" w:hAnsi="Times New Roman"/>
        </w:rPr>
      </w:pPr>
    </w:p>
    <w:p w14:paraId="52DA9430" w14:textId="01081371" w:rsidR="00EF47FC" w:rsidRDefault="00122CE0" w:rsidP="00082AD0">
      <w:pPr>
        <w:tabs>
          <w:tab w:val="left" w:pos="0"/>
        </w:tabs>
        <w:autoSpaceDE/>
        <w:autoSpaceDN/>
        <w:spacing w:line="360" w:lineRule="auto"/>
        <w:rPr>
          <w:rFonts w:ascii="Times New Roman" w:hAnsi="Times New Roman"/>
        </w:rPr>
      </w:pPr>
      <w:r>
        <w:rPr>
          <w:rFonts w:ascii="Times New Roman" w:hAnsi="Times New Roman"/>
        </w:rPr>
        <w:tab/>
      </w:r>
      <w:r w:rsidR="00082AD0">
        <w:rPr>
          <w:rFonts w:ascii="Times New Roman" w:hAnsi="Times New Roman"/>
        </w:rPr>
        <w:tab/>
      </w:r>
      <w:r w:rsidR="006C6F5D">
        <w:rPr>
          <w:rFonts w:ascii="Times New Roman" w:hAnsi="Times New Roman"/>
        </w:rPr>
        <w:t xml:space="preserve">On </w:t>
      </w:r>
      <w:r w:rsidR="00082AD0">
        <w:rPr>
          <w:rFonts w:ascii="Times New Roman" w:hAnsi="Times New Roman"/>
        </w:rPr>
        <w:t>January 10, 2024</w:t>
      </w:r>
      <w:r w:rsidR="006C6F5D">
        <w:rPr>
          <w:rFonts w:ascii="Times New Roman" w:hAnsi="Times New Roman"/>
        </w:rPr>
        <w:t xml:space="preserve">, </w:t>
      </w:r>
      <w:r w:rsidR="004D625C">
        <w:rPr>
          <w:rFonts w:ascii="Times New Roman" w:hAnsi="Times New Roman"/>
        </w:rPr>
        <w:t xml:space="preserve">a Notice for a telephonic prehearing conference was sent to the parties </w:t>
      </w:r>
      <w:r w:rsidR="0062502A">
        <w:rPr>
          <w:rFonts w:ascii="Times New Roman" w:hAnsi="Times New Roman"/>
        </w:rPr>
        <w:t xml:space="preserve">in this case </w:t>
      </w:r>
      <w:r w:rsidR="004D625C">
        <w:rPr>
          <w:rFonts w:ascii="Times New Roman" w:hAnsi="Times New Roman"/>
        </w:rPr>
        <w:t xml:space="preserve">setting February 20, 2024, as the date for that </w:t>
      </w:r>
      <w:r w:rsidR="00D87071">
        <w:rPr>
          <w:rFonts w:ascii="Times New Roman" w:hAnsi="Times New Roman"/>
        </w:rPr>
        <w:t>conference.</w:t>
      </w:r>
      <w:r w:rsidR="00A8583A">
        <w:rPr>
          <w:rFonts w:ascii="Times New Roman" w:hAnsi="Times New Roman"/>
        </w:rPr>
        <w:t xml:space="preserve">  Also on January 10, 2024, </w:t>
      </w:r>
      <w:r w:rsidR="001E5BEA">
        <w:rPr>
          <w:rFonts w:ascii="Times New Roman" w:hAnsi="Times New Roman"/>
        </w:rPr>
        <w:t>a prehearing Order was issued.</w:t>
      </w:r>
    </w:p>
    <w:p w14:paraId="1906A178" w14:textId="77777777" w:rsidR="00B772C2" w:rsidRDefault="00B772C2" w:rsidP="00082AD0">
      <w:pPr>
        <w:tabs>
          <w:tab w:val="left" w:pos="0"/>
        </w:tabs>
        <w:autoSpaceDE/>
        <w:autoSpaceDN/>
        <w:spacing w:line="360" w:lineRule="auto"/>
        <w:rPr>
          <w:rFonts w:ascii="Times New Roman" w:hAnsi="Times New Roman"/>
        </w:rPr>
      </w:pPr>
    </w:p>
    <w:p w14:paraId="2C57AAB0" w14:textId="4FD8C1F8" w:rsidR="00B772C2" w:rsidRDefault="00B772C2" w:rsidP="00082AD0">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t xml:space="preserve">On February 8, 2024, </w:t>
      </w:r>
      <w:r w:rsidR="003046FE">
        <w:rPr>
          <w:rFonts w:ascii="Times New Roman" w:hAnsi="Times New Roman"/>
        </w:rPr>
        <w:t xml:space="preserve">a hearing Notice was issued rescheduling the prehearing conference to March 19, </w:t>
      </w:r>
      <w:r w:rsidR="00E2551F">
        <w:rPr>
          <w:rFonts w:ascii="Times New Roman" w:hAnsi="Times New Roman"/>
        </w:rPr>
        <w:t>2024.  That Notice was served upon the parties and was not returned.</w:t>
      </w:r>
    </w:p>
    <w:p w14:paraId="3D636E11" w14:textId="77777777" w:rsidR="00D87071" w:rsidRDefault="00D87071" w:rsidP="00D7108A">
      <w:pPr>
        <w:tabs>
          <w:tab w:val="left" w:pos="0"/>
          <w:tab w:val="left" w:pos="1440"/>
        </w:tabs>
        <w:autoSpaceDE/>
        <w:autoSpaceDN/>
        <w:spacing w:line="360" w:lineRule="auto"/>
        <w:rPr>
          <w:rFonts w:ascii="Times New Roman" w:hAnsi="Times New Roman"/>
        </w:rPr>
      </w:pPr>
    </w:p>
    <w:p w14:paraId="67E5620B" w14:textId="49A184AF" w:rsidR="00D87071" w:rsidRDefault="00D87071" w:rsidP="00D7108A">
      <w:pPr>
        <w:tabs>
          <w:tab w:val="left" w:pos="0"/>
          <w:tab w:val="left" w:pos="1440"/>
        </w:tabs>
        <w:autoSpaceDE/>
        <w:autoSpaceDN/>
        <w:spacing w:line="360" w:lineRule="auto"/>
        <w:rPr>
          <w:rFonts w:ascii="Times New Roman" w:hAnsi="Times New Roman"/>
        </w:rPr>
      </w:pPr>
      <w:r>
        <w:rPr>
          <w:rFonts w:ascii="Times New Roman" w:hAnsi="Times New Roman"/>
        </w:rPr>
        <w:lastRenderedPageBreak/>
        <w:tab/>
        <w:t xml:space="preserve">On </w:t>
      </w:r>
      <w:r w:rsidR="00E2551F">
        <w:rPr>
          <w:rFonts w:ascii="Times New Roman" w:hAnsi="Times New Roman"/>
        </w:rPr>
        <w:t xml:space="preserve">March 19, </w:t>
      </w:r>
      <w:r>
        <w:rPr>
          <w:rFonts w:ascii="Times New Roman" w:hAnsi="Times New Roman"/>
        </w:rPr>
        <w:t xml:space="preserve">the prehearing conference convened.  </w:t>
      </w:r>
      <w:r w:rsidR="001C0BCA">
        <w:rPr>
          <w:rFonts w:ascii="Times New Roman" w:hAnsi="Times New Roman"/>
        </w:rPr>
        <w:t xml:space="preserve">Attorney James A. Meehan and Attorney Tori </w:t>
      </w:r>
      <w:r w:rsidR="00BD1F2B">
        <w:rPr>
          <w:rFonts w:ascii="Times New Roman" w:hAnsi="Times New Roman"/>
        </w:rPr>
        <w:t xml:space="preserve">L. Giesler </w:t>
      </w:r>
      <w:r w:rsidR="00615D0C">
        <w:rPr>
          <w:rFonts w:ascii="Times New Roman" w:hAnsi="Times New Roman"/>
        </w:rPr>
        <w:t xml:space="preserve">appeared on behalf of Met-Ed.  </w:t>
      </w:r>
      <w:r>
        <w:rPr>
          <w:rFonts w:ascii="Times New Roman" w:hAnsi="Times New Roman"/>
        </w:rPr>
        <w:t xml:space="preserve">Complainant </w:t>
      </w:r>
      <w:r w:rsidR="004C3938">
        <w:rPr>
          <w:rFonts w:ascii="Times New Roman" w:hAnsi="Times New Roman"/>
        </w:rPr>
        <w:t xml:space="preserve">did not appear.  Complainant </w:t>
      </w:r>
      <w:r w:rsidR="00C11594">
        <w:rPr>
          <w:rFonts w:ascii="Times New Roman" w:hAnsi="Times New Roman"/>
        </w:rPr>
        <w:t xml:space="preserve">did not contact OALJ, and he did not </w:t>
      </w:r>
      <w:proofErr w:type="gramStart"/>
      <w:r w:rsidR="00C11594">
        <w:rPr>
          <w:rFonts w:ascii="Times New Roman" w:hAnsi="Times New Roman"/>
        </w:rPr>
        <w:t>offer an explanation for</w:t>
      </w:r>
      <w:proofErr w:type="gramEnd"/>
      <w:r w:rsidR="00C11594">
        <w:rPr>
          <w:rFonts w:ascii="Times New Roman" w:hAnsi="Times New Roman"/>
        </w:rPr>
        <w:t xml:space="preserve"> his absence.  </w:t>
      </w:r>
      <w:r w:rsidR="003A64E5">
        <w:rPr>
          <w:rFonts w:ascii="Times New Roman" w:hAnsi="Times New Roman"/>
        </w:rPr>
        <w:t>The conference was held primarily to acquaint Complainant with the fact that he has the burden of proof in this matter</w:t>
      </w:r>
      <w:r w:rsidR="00B72CEA">
        <w:rPr>
          <w:rFonts w:ascii="Times New Roman" w:hAnsi="Times New Roman"/>
        </w:rPr>
        <w:t xml:space="preserve"> and that third-</w:t>
      </w:r>
      <w:r w:rsidR="002E520E">
        <w:rPr>
          <w:rFonts w:ascii="Times New Roman" w:hAnsi="Times New Roman"/>
        </w:rPr>
        <w:t>party</w:t>
      </w:r>
      <w:r w:rsidR="00B72CEA">
        <w:rPr>
          <w:rFonts w:ascii="Times New Roman" w:hAnsi="Times New Roman"/>
        </w:rPr>
        <w:t xml:space="preserve"> hearsay documents or statements (such as those downloaded from websites purporting to be </w:t>
      </w:r>
      <w:r w:rsidR="00251056">
        <w:rPr>
          <w:rFonts w:ascii="Times New Roman" w:hAnsi="Times New Roman"/>
        </w:rPr>
        <w:t xml:space="preserve">authored by </w:t>
      </w:r>
      <w:r w:rsidR="00B72CEA">
        <w:rPr>
          <w:rFonts w:ascii="Times New Roman" w:hAnsi="Times New Roman"/>
        </w:rPr>
        <w:t>medical authorities) would not be acceptable as evidence to meet that burden.</w:t>
      </w:r>
      <w:r w:rsidR="00251056">
        <w:rPr>
          <w:rFonts w:ascii="Times New Roman" w:hAnsi="Times New Roman"/>
        </w:rPr>
        <w:t xml:space="preserve">  See, Discussion of </w:t>
      </w:r>
      <w:proofErr w:type="spellStart"/>
      <w:r w:rsidR="00251056" w:rsidRPr="007E419B">
        <w:rPr>
          <w:rFonts w:ascii="Times New Roman" w:hAnsi="Times New Roman"/>
          <w:i/>
          <w:iCs/>
        </w:rPr>
        <w:t>Povaz</w:t>
      </w:r>
      <w:r w:rsidR="004C12A8">
        <w:rPr>
          <w:rFonts w:ascii="Times New Roman" w:hAnsi="Times New Roman"/>
          <w:i/>
          <w:iCs/>
        </w:rPr>
        <w:t>c</w:t>
      </w:r>
      <w:proofErr w:type="spellEnd"/>
      <w:r w:rsidR="004C12A8">
        <w:rPr>
          <w:rFonts w:ascii="Times New Roman" w:hAnsi="Times New Roman"/>
          <w:i/>
          <w:iCs/>
        </w:rPr>
        <w:t xml:space="preserve"> II</w:t>
      </w:r>
      <w:r w:rsidR="00251056">
        <w:rPr>
          <w:rFonts w:ascii="Times New Roman" w:hAnsi="Times New Roman"/>
        </w:rPr>
        <w:t>, below</w:t>
      </w:r>
      <w:r w:rsidR="007E419B">
        <w:rPr>
          <w:rFonts w:ascii="Times New Roman" w:hAnsi="Times New Roman"/>
        </w:rPr>
        <w:t>.</w:t>
      </w:r>
      <w:r w:rsidR="00A368B0">
        <w:rPr>
          <w:rFonts w:ascii="Times New Roman" w:hAnsi="Times New Roman"/>
        </w:rPr>
        <w:t xml:space="preserve">  </w:t>
      </w:r>
      <w:r w:rsidR="009A6D71">
        <w:rPr>
          <w:rFonts w:ascii="Times New Roman" w:hAnsi="Times New Roman"/>
        </w:rPr>
        <w:t xml:space="preserve">The </w:t>
      </w:r>
      <w:r w:rsidR="00D94A5B">
        <w:rPr>
          <w:rFonts w:ascii="Times New Roman" w:hAnsi="Times New Roman"/>
        </w:rPr>
        <w:t xml:space="preserve">conference was also meant to afford Complainant an opportunity to </w:t>
      </w:r>
      <w:r w:rsidR="00235B22">
        <w:rPr>
          <w:rFonts w:ascii="Times New Roman" w:hAnsi="Times New Roman"/>
        </w:rPr>
        <w:t>raise any procedural questions or issues.</w:t>
      </w:r>
      <w:r w:rsidR="002C194C">
        <w:rPr>
          <w:rFonts w:ascii="Times New Roman" w:hAnsi="Times New Roman"/>
        </w:rPr>
        <w:t xml:space="preserve">  As Complainant did not appear, I shall simply reite</w:t>
      </w:r>
      <w:r w:rsidR="00AB5AF7">
        <w:rPr>
          <w:rFonts w:ascii="Times New Roman" w:hAnsi="Times New Roman"/>
        </w:rPr>
        <w:t xml:space="preserve">rate that this proceeding will be conducted in accord with the Commission’s procedural rules at 52 Pa. Code </w:t>
      </w:r>
      <w:r w:rsidR="00564E8C" w:rsidRPr="00564E8C">
        <w:rPr>
          <w:rFonts w:ascii="Times New Roman" w:hAnsi="Times New Roman"/>
        </w:rPr>
        <w:t>§ 5.1</w:t>
      </w:r>
      <w:r w:rsidR="00564E8C">
        <w:rPr>
          <w:rFonts w:ascii="Times New Roman" w:hAnsi="Times New Roman"/>
        </w:rPr>
        <w:t xml:space="preserve"> </w:t>
      </w:r>
      <w:r w:rsidR="00564E8C" w:rsidRPr="00564E8C">
        <w:rPr>
          <w:rFonts w:ascii="Times New Roman" w:hAnsi="Times New Roman"/>
          <w:i/>
          <w:iCs/>
        </w:rPr>
        <w:t>et seq</w:t>
      </w:r>
      <w:r w:rsidR="00564E8C">
        <w:rPr>
          <w:rFonts w:ascii="Times New Roman" w:hAnsi="Times New Roman"/>
        </w:rPr>
        <w:t>.</w:t>
      </w:r>
      <w:r w:rsidR="001507E8">
        <w:rPr>
          <w:rFonts w:ascii="Times New Roman" w:hAnsi="Times New Roman"/>
        </w:rPr>
        <w:t xml:space="preserve"> and in accord with the directives in </w:t>
      </w:r>
      <w:r w:rsidR="001507E8" w:rsidRPr="001507E8">
        <w:rPr>
          <w:rFonts w:ascii="Times New Roman" w:hAnsi="Times New Roman"/>
          <w:i/>
          <w:iCs/>
        </w:rPr>
        <w:t>Povacz II</w:t>
      </w:r>
      <w:r w:rsidR="001507E8">
        <w:rPr>
          <w:rFonts w:ascii="Times New Roman" w:hAnsi="Times New Roman"/>
        </w:rPr>
        <w:t>.</w:t>
      </w:r>
    </w:p>
    <w:p w14:paraId="59D931CB" w14:textId="77777777" w:rsidR="009A1C6D" w:rsidRDefault="009A1C6D" w:rsidP="00D7108A">
      <w:pPr>
        <w:tabs>
          <w:tab w:val="left" w:pos="0"/>
          <w:tab w:val="left" w:pos="1440"/>
        </w:tabs>
        <w:autoSpaceDE/>
        <w:autoSpaceDN/>
        <w:spacing w:line="360" w:lineRule="auto"/>
        <w:rPr>
          <w:rFonts w:ascii="Times New Roman" w:hAnsi="Times New Roman"/>
        </w:rPr>
      </w:pPr>
    </w:p>
    <w:p w14:paraId="5D469087" w14:textId="3CBAD225" w:rsidR="00975654" w:rsidRPr="00975654" w:rsidRDefault="00754DC5" w:rsidP="00DA1055">
      <w:pPr>
        <w:tabs>
          <w:tab w:val="left" w:pos="0"/>
          <w:tab w:val="left" w:pos="1440"/>
        </w:tabs>
        <w:autoSpaceDE/>
        <w:autoSpaceDN/>
        <w:spacing w:line="360" w:lineRule="auto"/>
        <w:jc w:val="center"/>
        <w:rPr>
          <w:rFonts w:ascii="Times New Roman" w:hAnsi="Times New Roman"/>
          <w:u w:val="single"/>
        </w:rPr>
      </w:pPr>
      <w:r>
        <w:rPr>
          <w:rFonts w:ascii="Times New Roman" w:hAnsi="Times New Roman"/>
          <w:u w:val="single"/>
        </w:rPr>
        <w:t>DISCUSSION</w:t>
      </w:r>
    </w:p>
    <w:p w14:paraId="0A46F306" w14:textId="77777777" w:rsidR="00FA0753" w:rsidRDefault="00FA0753" w:rsidP="00D7108A">
      <w:pPr>
        <w:tabs>
          <w:tab w:val="left" w:pos="0"/>
          <w:tab w:val="left" w:pos="1440"/>
        </w:tabs>
        <w:autoSpaceDE/>
        <w:autoSpaceDN/>
        <w:spacing w:line="360" w:lineRule="auto"/>
        <w:rPr>
          <w:rFonts w:ascii="Times New Roman" w:hAnsi="Times New Roman"/>
        </w:rPr>
      </w:pPr>
    </w:p>
    <w:p w14:paraId="1652CF22" w14:textId="68BC9AAB" w:rsidR="0070611A" w:rsidRPr="006D2FBA" w:rsidRDefault="0070611A" w:rsidP="00D7108A">
      <w:pPr>
        <w:tabs>
          <w:tab w:val="left" w:pos="0"/>
          <w:tab w:val="left" w:pos="1440"/>
        </w:tabs>
        <w:autoSpaceDE/>
        <w:autoSpaceDN/>
        <w:spacing w:line="360" w:lineRule="auto"/>
        <w:rPr>
          <w:rFonts w:ascii="Times New Roman" w:hAnsi="Times New Roman"/>
          <w:u w:val="single"/>
        </w:rPr>
      </w:pPr>
      <w:r w:rsidRPr="006D2FBA">
        <w:rPr>
          <w:rFonts w:ascii="Times New Roman" w:hAnsi="Times New Roman"/>
          <w:u w:val="single"/>
        </w:rPr>
        <w:t>Resolution of Met-Ed’s Preliminary Objections</w:t>
      </w:r>
    </w:p>
    <w:p w14:paraId="11AB82B8" w14:textId="77777777" w:rsidR="0070611A" w:rsidRDefault="0070611A" w:rsidP="00D7108A">
      <w:pPr>
        <w:tabs>
          <w:tab w:val="left" w:pos="0"/>
          <w:tab w:val="left" w:pos="1440"/>
        </w:tabs>
        <w:autoSpaceDE/>
        <w:autoSpaceDN/>
        <w:spacing w:line="360" w:lineRule="auto"/>
        <w:rPr>
          <w:rFonts w:ascii="Times New Roman" w:hAnsi="Times New Roman"/>
        </w:rPr>
      </w:pPr>
    </w:p>
    <w:p w14:paraId="31D496A1" w14:textId="7BC28064" w:rsidR="00FA0753" w:rsidRDefault="00754DC5" w:rsidP="00D7108A">
      <w:pPr>
        <w:tabs>
          <w:tab w:val="left" w:pos="0"/>
          <w:tab w:val="left" w:pos="1440"/>
        </w:tabs>
        <w:autoSpaceDE/>
        <w:autoSpaceDN/>
        <w:spacing w:line="360" w:lineRule="auto"/>
        <w:rPr>
          <w:rFonts w:ascii="Times New Roman" w:hAnsi="Times New Roman"/>
        </w:rPr>
      </w:pPr>
      <w:r>
        <w:rPr>
          <w:rFonts w:ascii="Times New Roman" w:hAnsi="Times New Roman"/>
        </w:rPr>
        <w:tab/>
      </w:r>
      <w:r w:rsidR="00B57A6D">
        <w:rPr>
          <w:rFonts w:ascii="Times New Roman" w:hAnsi="Times New Roman"/>
        </w:rPr>
        <w:t xml:space="preserve">The first </w:t>
      </w:r>
      <w:r w:rsidR="00A849EB">
        <w:rPr>
          <w:rFonts w:ascii="Times New Roman" w:hAnsi="Times New Roman"/>
        </w:rPr>
        <w:t xml:space="preserve">matter to consider is the posture of the Preliminary Objections (and the Answer thereto) filed by </w:t>
      </w:r>
      <w:r w:rsidR="00F6581C">
        <w:rPr>
          <w:rFonts w:ascii="Times New Roman" w:hAnsi="Times New Roman"/>
        </w:rPr>
        <w:t xml:space="preserve">Met-Ed </w:t>
      </w:r>
      <w:r w:rsidR="00964314">
        <w:rPr>
          <w:rFonts w:ascii="Times New Roman" w:hAnsi="Times New Roman"/>
        </w:rPr>
        <w:t>on</w:t>
      </w:r>
      <w:r w:rsidR="00A849EB">
        <w:rPr>
          <w:rFonts w:ascii="Times New Roman" w:hAnsi="Times New Roman"/>
        </w:rPr>
        <w:t xml:space="preserve"> August </w:t>
      </w:r>
      <w:r w:rsidR="00964314">
        <w:rPr>
          <w:rFonts w:ascii="Times New Roman" w:hAnsi="Times New Roman"/>
        </w:rPr>
        <w:t>6</w:t>
      </w:r>
      <w:r w:rsidR="00A849EB">
        <w:rPr>
          <w:rFonts w:ascii="Times New Roman" w:hAnsi="Times New Roman"/>
        </w:rPr>
        <w:t>, 20</w:t>
      </w:r>
      <w:r w:rsidR="00964314">
        <w:rPr>
          <w:rFonts w:ascii="Times New Roman" w:hAnsi="Times New Roman"/>
        </w:rPr>
        <w:t>19</w:t>
      </w:r>
      <w:r w:rsidR="00A849EB">
        <w:rPr>
          <w:rFonts w:ascii="Times New Roman" w:hAnsi="Times New Roman"/>
        </w:rPr>
        <w:t xml:space="preserve">.  </w:t>
      </w:r>
      <w:r w:rsidR="00F613AF">
        <w:rPr>
          <w:rFonts w:ascii="Times New Roman" w:hAnsi="Times New Roman"/>
        </w:rPr>
        <w:t xml:space="preserve">This issue was not discussed at the prehearing conference, but I note that a decision with respect to the </w:t>
      </w:r>
      <w:r w:rsidR="00801112">
        <w:rPr>
          <w:rFonts w:ascii="Times New Roman" w:hAnsi="Times New Roman"/>
        </w:rPr>
        <w:t xml:space="preserve">Objections remains pending.  </w:t>
      </w:r>
    </w:p>
    <w:p w14:paraId="0727FCFE" w14:textId="77777777" w:rsidR="00D1059D" w:rsidRDefault="00D1059D" w:rsidP="00D7108A">
      <w:pPr>
        <w:tabs>
          <w:tab w:val="left" w:pos="0"/>
          <w:tab w:val="left" w:pos="1440"/>
        </w:tabs>
        <w:autoSpaceDE/>
        <w:autoSpaceDN/>
        <w:spacing w:line="360" w:lineRule="auto"/>
        <w:rPr>
          <w:rFonts w:ascii="Times New Roman" w:hAnsi="Times New Roman"/>
        </w:rPr>
      </w:pPr>
    </w:p>
    <w:p w14:paraId="2E397C33" w14:textId="14FDC9BE" w:rsidR="00D1059D" w:rsidRDefault="00D1059D" w:rsidP="0088485F">
      <w:pPr>
        <w:tabs>
          <w:tab w:val="left" w:pos="0"/>
        </w:tabs>
        <w:autoSpaceDE/>
        <w:autoSpaceDN/>
        <w:spacing w:line="360" w:lineRule="auto"/>
        <w:rPr>
          <w:rFonts w:ascii="Times New Roman" w:hAnsi="Times New Roman"/>
        </w:rPr>
      </w:pPr>
      <w:r>
        <w:rPr>
          <w:rFonts w:ascii="Times New Roman" w:hAnsi="Times New Roman"/>
        </w:rPr>
        <w:tab/>
      </w:r>
      <w:r w:rsidR="0088485F">
        <w:rPr>
          <w:rFonts w:ascii="Times New Roman" w:hAnsi="Times New Roman"/>
        </w:rPr>
        <w:tab/>
        <w:t>As is explained in the Summarized History of the Proceed</w:t>
      </w:r>
      <w:r w:rsidR="00ED09D9">
        <w:rPr>
          <w:rFonts w:ascii="Times New Roman" w:hAnsi="Times New Roman"/>
        </w:rPr>
        <w:t xml:space="preserve">ings, above, </w:t>
      </w:r>
      <w:r w:rsidR="00ED09D9" w:rsidRPr="00ED09D9">
        <w:rPr>
          <w:rFonts w:ascii="Times New Roman" w:hAnsi="Times New Roman"/>
        </w:rPr>
        <w:t xml:space="preserve">Met-Ed filed Preliminary Objections to the Complaint asking that the Commission strike Complainant’s request for exemption from smart meter placement as contrary to law </w:t>
      </w:r>
      <w:r w:rsidR="002710D3">
        <w:rPr>
          <w:rFonts w:ascii="Times New Roman" w:hAnsi="Times New Roman"/>
        </w:rPr>
        <w:t xml:space="preserve">and </w:t>
      </w:r>
      <w:r w:rsidR="00ED09D9" w:rsidRPr="00ED09D9">
        <w:rPr>
          <w:rFonts w:ascii="Times New Roman" w:hAnsi="Times New Roman"/>
        </w:rPr>
        <w:t>asking that the Commission dismiss the Complaint with prejudice, citing 52 Pa. Code § 5.101(4), legal insufficiency.  Met-Ed also pointed to lack of specificity in the Complaint with respect to what provision of the Code, the Commission’s regulations or the Company’s tariff had been violated and argued that the Complaint was requesting relief that the Commission could not lawfully grant</w:t>
      </w:r>
      <w:r w:rsidR="008D2DB8">
        <w:rPr>
          <w:rFonts w:ascii="Times New Roman" w:hAnsi="Times New Roman"/>
        </w:rPr>
        <w:t xml:space="preserve"> </w:t>
      </w:r>
      <w:proofErr w:type="gramStart"/>
      <w:r w:rsidR="008D2DB8">
        <w:rPr>
          <w:rFonts w:ascii="Times New Roman" w:hAnsi="Times New Roman"/>
        </w:rPr>
        <w:t>as yet</w:t>
      </w:r>
      <w:proofErr w:type="gramEnd"/>
      <w:r w:rsidR="008D2DB8">
        <w:rPr>
          <w:rFonts w:ascii="Times New Roman" w:hAnsi="Times New Roman"/>
        </w:rPr>
        <w:t xml:space="preserve"> another reason why </w:t>
      </w:r>
      <w:r w:rsidR="00ED09D9" w:rsidRPr="00ED09D9">
        <w:rPr>
          <w:rFonts w:ascii="Times New Roman" w:hAnsi="Times New Roman"/>
        </w:rPr>
        <w:t>the Complaint was legally insufficient.</w:t>
      </w:r>
    </w:p>
    <w:p w14:paraId="07471C95" w14:textId="77777777" w:rsidR="00E2088F" w:rsidRDefault="00E2088F" w:rsidP="0088485F">
      <w:pPr>
        <w:tabs>
          <w:tab w:val="left" w:pos="0"/>
        </w:tabs>
        <w:autoSpaceDE/>
        <w:autoSpaceDN/>
        <w:spacing w:line="360" w:lineRule="auto"/>
        <w:rPr>
          <w:rFonts w:ascii="Times New Roman" w:hAnsi="Times New Roman"/>
        </w:rPr>
      </w:pPr>
    </w:p>
    <w:p w14:paraId="4315623E" w14:textId="613FDC43" w:rsidR="00E2088F" w:rsidRDefault="00E2088F" w:rsidP="0088485F">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r>
      <w:r w:rsidR="001E1731">
        <w:rPr>
          <w:rFonts w:ascii="Times New Roman" w:hAnsi="Times New Roman"/>
        </w:rPr>
        <w:t xml:space="preserve">As with his Answer to New Matter, Complainant’s Answer to </w:t>
      </w:r>
      <w:proofErr w:type="spellStart"/>
      <w:r w:rsidR="001E1731">
        <w:rPr>
          <w:rFonts w:ascii="Times New Roman" w:hAnsi="Times New Roman"/>
        </w:rPr>
        <w:t>Met</w:t>
      </w:r>
      <w:proofErr w:type="spellEnd"/>
      <w:r w:rsidR="001E1731">
        <w:rPr>
          <w:rFonts w:ascii="Times New Roman" w:hAnsi="Times New Roman"/>
        </w:rPr>
        <w:t>-Ed’s Preliminary Ob</w:t>
      </w:r>
      <w:r w:rsidR="00643295">
        <w:rPr>
          <w:rFonts w:ascii="Times New Roman" w:hAnsi="Times New Roman"/>
        </w:rPr>
        <w:t xml:space="preserve">jections </w:t>
      </w:r>
      <w:r w:rsidR="00643295" w:rsidRPr="00643295">
        <w:rPr>
          <w:rFonts w:ascii="Times New Roman" w:hAnsi="Times New Roman"/>
        </w:rPr>
        <w:t xml:space="preserve">did not respond to </w:t>
      </w:r>
      <w:proofErr w:type="spellStart"/>
      <w:r w:rsidR="00643295" w:rsidRPr="00643295">
        <w:rPr>
          <w:rFonts w:ascii="Times New Roman" w:hAnsi="Times New Roman"/>
        </w:rPr>
        <w:t>Met</w:t>
      </w:r>
      <w:proofErr w:type="spellEnd"/>
      <w:r w:rsidR="00643295" w:rsidRPr="00643295">
        <w:rPr>
          <w:rFonts w:ascii="Times New Roman" w:hAnsi="Times New Roman"/>
        </w:rPr>
        <w:t xml:space="preserve">-Ed’s argument about lack of legal sufficiency but </w:t>
      </w:r>
      <w:r w:rsidR="00643295" w:rsidRPr="00643295">
        <w:rPr>
          <w:rFonts w:ascii="Times New Roman" w:hAnsi="Times New Roman"/>
        </w:rPr>
        <w:lastRenderedPageBreak/>
        <w:t>instead renewed his assertions with respect to threatened termination of service and then engaged in legislative analysis of Act 129 focusing on what he believed the legislative intent to be at the time of the passage of Act 129.  In essence, the Answer was a reiteration, in part, of the original Complaint</w:t>
      </w:r>
      <w:r w:rsidR="00F42894">
        <w:rPr>
          <w:rFonts w:ascii="Times New Roman" w:hAnsi="Times New Roman"/>
        </w:rPr>
        <w:t xml:space="preserve"> </w:t>
      </w:r>
      <w:r w:rsidR="0017270C">
        <w:rPr>
          <w:rFonts w:ascii="Times New Roman" w:hAnsi="Times New Roman"/>
        </w:rPr>
        <w:t>but</w:t>
      </w:r>
      <w:r w:rsidR="00643295" w:rsidRPr="00643295">
        <w:rPr>
          <w:rFonts w:ascii="Times New Roman" w:hAnsi="Times New Roman"/>
        </w:rPr>
        <w:t xml:space="preserve"> exp</w:t>
      </w:r>
      <w:r w:rsidR="00530A3F">
        <w:rPr>
          <w:rFonts w:ascii="Times New Roman" w:hAnsi="Times New Roman"/>
        </w:rPr>
        <w:t>a</w:t>
      </w:r>
      <w:r w:rsidR="00643295" w:rsidRPr="00643295">
        <w:rPr>
          <w:rFonts w:ascii="Times New Roman" w:hAnsi="Times New Roman"/>
        </w:rPr>
        <w:t>nded to include an argument about legislative intent which Complainant contended would allow him to opt out of smart meter placement.</w:t>
      </w:r>
    </w:p>
    <w:p w14:paraId="2DC6D657" w14:textId="77777777" w:rsidR="0073266D" w:rsidRDefault="0073266D" w:rsidP="00D7108A">
      <w:pPr>
        <w:tabs>
          <w:tab w:val="left" w:pos="0"/>
          <w:tab w:val="left" w:pos="1440"/>
        </w:tabs>
        <w:autoSpaceDE/>
        <w:autoSpaceDN/>
        <w:spacing w:line="360" w:lineRule="auto"/>
        <w:rPr>
          <w:rFonts w:ascii="Times New Roman" w:hAnsi="Times New Roman"/>
        </w:rPr>
      </w:pPr>
    </w:p>
    <w:p w14:paraId="0F8FBF04" w14:textId="77777777" w:rsidR="006B2932" w:rsidRPr="006B2932" w:rsidRDefault="0073266D" w:rsidP="006B2932">
      <w:pPr>
        <w:spacing w:line="259" w:lineRule="auto"/>
        <w:rPr>
          <w:rFonts w:ascii="Times New Roman" w:eastAsia="Calibri" w:hAnsi="Times New Roman" w:cs="Times New Roman"/>
        </w:rPr>
      </w:pPr>
      <w:r>
        <w:rPr>
          <w:rFonts w:ascii="Times New Roman" w:hAnsi="Times New Roman"/>
        </w:rPr>
        <w:tab/>
      </w:r>
      <w:r w:rsidR="001C7567">
        <w:rPr>
          <w:rFonts w:ascii="Times New Roman" w:hAnsi="Times New Roman"/>
        </w:rPr>
        <w:t xml:space="preserve"> </w:t>
      </w:r>
      <w:r w:rsidR="006B2932" w:rsidRPr="006B2932">
        <w:rPr>
          <w:rFonts w:ascii="Times New Roman" w:eastAsia="Calibri" w:hAnsi="Times New Roman" w:cs="Times New Roman"/>
        </w:rPr>
        <w:t>Commission regulations permit the filing of preliminary objections:</w:t>
      </w:r>
    </w:p>
    <w:p w14:paraId="189FA96A" w14:textId="77777777" w:rsidR="006B2932" w:rsidRPr="006B2932" w:rsidRDefault="006B2932" w:rsidP="006B2932">
      <w:pPr>
        <w:autoSpaceDE/>
        <w:autoSpaceDN/>
        <w:spacing w:line="360" w:lineRule="auto"/>
        <w:rPr>
          <w:rFonts w:ascii="Times New Roman" w:eastAsia="Calibri" w:hAnsi="Times New Roman" w:cs="Times New Roman"/>
          <w:b/>
        </w:rPr>
      </w:pPr>
    </w:p>
    <w:p w14:paraId="4032FA62" w14:textId="77777777" w:rsidR="006B2932" w:rsidRPr="006B2932" w:rsidRDefault="006B2932" w:rsidP="006B2932">
      <w:pPr>
        <w:autoSpaceDE/>
        <w:autoSpaceDN/>
        <w:spacing w:line="360" w:lineRule="auto"/>
        <w:ind w:left="1440" w:right="1440"/>
        <w:rPr>
          <w:rFonts w:ascii="Times New Roman" w:eastAsia="Calibri" w:hAnsi="Times New Roman" w:cs="Times New Roman"/>
          <w:b/>
        </w:rPr>
      </w:pPr>
      <w:r w:rsidRPr="006B2932">
        <w:rPr>
          <w:rFonts w:ascii="Times New Roman" w:eastAsia="Calibri" w:hAnsi="Times New Roman" w:cs="Times New Roman"/>
          <w:b/>
        </w:rPr>
        <w:t>§ 5.101.  Preliminary objections.</w:t>
      </w:r>
    </w:p>
    <w:p w14:paraId="7EBC6840"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w:t>
      </w:r>
      <w:r w:rsidRPr="006B2932">
        <w:rPr>
          <w:rFonts w:ascii="Times New Roman" w:eastAsia="Calibri" w:hAnsi="Times New Roman" w:cs="Times New Roman"/>
        </w:rPr>
        <w:tab/>
      </w:r>
      <w:r w:rsidRPr="006B2932">
        <w:rPr>
          <w:rFonts w:ascii="Times New Roman" w:eastAsia="Calibri" w:hAnsi="Times New Roman" w:cs="Times New Roman"/>
          <w:i/>
        </w:rPr>
        <w:t>Grounds.</w:t>
      </w:r>
      <w:r w:rsidRPr="006B2932">
        <w:rPr>
          <w:rFonts w:ascii="Times New Roman" w:eastAsia="Calibri"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CF8599C"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7E9280F9"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(1)</w:t>
      </w:r>
      <w:r w:rsidRPr="006B2932">
        <w:rPr>
          <w:rFonts w:ascii="Times New Roman" w:eastAsia="Calibri" w:hAnsi="Times New Roman" w:cs="Times New Roman"/>
        </w:rPr>
        <w:tab/>
        <w:t>Lack of Commission jurisdiction or improper service of the pleading initiating the proceeding.</w:t>
      </w:r>
    </w:p>
    <w:p w14:paraId="556ABF5A"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7B3BB2F0"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(2)</w:t>
      </w:r>
      <w:r w:rsidRPr="006B2932">
        <w:rPr>
          <w:rFonts w:ascii="Times New Roman" w:eastAsia="Calibri" w:hAnsi="Times New Roman" w:cs="Times New Roman"/>
        </w:rPr>
        <w:tab/>
        <w:t>Failure of a pleading to conform to this chapter or the inclusion of scandalous or impertinent matter.</w:t>
      </w:r>
    </w:p>
    <w:p w14:paraId="3C4C99D3"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61B5F836"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(3)</w:t>
      </w:r>
      <w:r w:rsidRPr="006B2932">
        <w:rPr>
          <w:rFonts w:ascii="Times New Roman" w:eastAsia="Calibri" w:hAnsi="Times New Roman" w:cs="Times New Roman"/>
        </w:rPr>
        <w:tab/>
        <w:t>Insufficient specificity of a pleading.</w:t>
      </w:r>
    </w:p>
    <w:p w14:paraId="1D00112D"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269FB1DB"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(4)</w:t>
      </w:r>
      <w:r w:rsidRPr="006B2932">
        <w:rPr>
          <w:rFonts w:ascii="Times New Roman" w:eastAsia="Calibri" w:hAnsi="Times New Roman" w:cs="Times New Roman"/>
        </w:rPr>
        <w:tab/>
        <w:t>Legal insufficiency of a pleading.</w:t>
      </w:r>
    </w:p>
    <w:p w14:paraId="5776F579"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09B417C6"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(5)</w:t>
      </w:r>
      <w:r w:rsidRPr="006B2932">
        <w:rPr>
          <w:rFonts w:ascii="Times New Roman" w:eastAsia="Calibri" w:hAnsi="Times New Roman" w:cs="Times New Roman"/>
        </w:rPr>
        <w:tab/>
        <w:t>Lack of capacity to sue, nonjoinder of a necessary party or misjoinder of a cause of action.</w:t>
      </w:r>
    </w:p>
    <w:p w14:paraId="5D00C139"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01018DB0"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(6)</w:t>
      </w:r>
      <w:r w:rsidRPr="006B2932">
        <w:rPr>
          <w:rFonts w:ascii="Times New Roman" w:eastAsia="Calibri" w:hAnsi="Times New Roman" w:cs="Times New Roman"/>
        </w:rPr>
        <w:tab/>
        <w:t>Pendency of a prior proceeding or agreement for alternative dispute resolution.</w:t>
      </w:r>
    </w:p>
    <w:p w14:paraId="33A55495"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68AAA215" w14:textId="77777777" w:rsidR="006B2932" w:rsidRPr="006B2932" w:rsidRDefault="006B2932" w:rsidP="006B2932">
      <w:pPr>
        <w:autoSpaceDE/>
        <w:autoSpaceDN/>
        <w:ind w:left="1440" w:right="1440"/>
        <w:contextualSpacing/>
        <w:rPr>
          <w:rFonts w:ascii="Times New Roman" w:eastAsia="Calibri" w:hAnsi="Times New Roman" w:cs="Times New Roman"/>
        </w:rPr>
      </w:pPr>
      <w:r w:rsidRPr="006B2932">
        <w:rPr>
          <w:rFonts w:ascii="Times New Roman" w:eastAsia="Calibri" w:hAnsi="Times New Roman" w:cs="Times New Roman"/>
        </w:rPr>
        <w:tab/>
        <w:t>(7)  Standing of a party to participate in the proceeding.</w:t>
      </w:r>
    </w:p>
    <w:p w14:paraId="7518EFAE" w14:textId="77777777" w:rsidR="006B2932" w:rsidRPr="006B2932" w:rsidRDefault="006B2932" w:rsidP="006B2932">
      <w:pPr>
        <w:autoSpaceDE/>
        <w:autoSpaceDN/>
        <w:ind w:left="1440" w:right="1440"/>
        <w:contextualSpacing/>
        <w:rPr>
          <w:rFonts w:ascii="Times New Roman" w:eastAsia="Calibri" w:hAnsi="Times New Roman" w:cs="Times New Roman"/>
        </w:rPr>
      </w:pPr>
    </w:p>
    <w:p w14:paraId="58AFEBE2" w14:textId="77777777" w:rsidR="006B2932" w:rsidRPr="006B2932" w:rsidRDefault="006B2932" w:rsidP="006B2932">
      <w:pPr>
        <w:autoSpaceDE/>
        <w:autoSpaceDN/>
        <w:ind w:left="90" w:right="1440"/>
        <w:contextualSpacing/>
        <w:rPr>
          <w:rFonts w:ascii="Times New Roman" w:eastAsia="Calibri" w:hAnsi="Times New Roman" w:cs="Times New Roman"/>
        </w:rPr>
      </w:pPr>
      <w:r w:rsidRPr="006B2932">
        <w:rPr>
          <w:rFonts w:ascii="Times New Roman" w:eastAsia="Calibri" w:hAnsi="Times New Roman" w:cs="Times New Roman"/>
        </w:rPr>
        <w:t>52 Pa. Code § 5.101(a).</w:t>
      </w:r>
    </w:p>
    <w:p w14:paraId="6FF918BC" w14:textId="77777777" w:rsidR="006B2932" w:rsidRPr="006B2932" w:rsidRDefault="006B2932" w:rsidP="006B2932">
      <w:pPr>
        <w:autoSpaceDE/>
        <w:autoSpaceDN/>
        <w:spacing w:line="360" w:lineRule="auto"/>
        <w:rPr>
          <w:rFonts w:ascii="Times New Roman" w:eastAsia="Calibri" w:hAnsi="Times New Roman" w:cs="Times New Roman"/>
        </w:rPr>
      </w:pPr>
    </w:p>
    <w:p w14:paraId="4236EA1E" w14:textId="77777777" w:rsidR="006B2932" w:rsidRDefault="006B2932" w:rsidP="006B2932">
      <w:pPr>
        <w:autoSpaceDE/>
        <w:autoSpaceDN/>
        <w:spacing w:line="360" w:lineRule="auto"/>
        <w:rPr>
          <w:rFonts w:ascii="Times New Roman" w:eastAsia="Calibri" w:hAnsi="Times New Roman" w:cs="Times New Roman"/>
        </w:rPr>
      </w:pPr>
      <w:r w:rsidRPr="006B2932">
        <w:rPr>
          <w:rFonts w:ascii="Times New Roman" w:eastAsia="Calibri" w:hAnsi="Times New Roman" w:cs="Times New Roman"/>
        </w:rPr>
        <w:tab/>
      </w:r>
      <w:r w:rsidRPr="006B2932">
        <w:rPr>
          <w:rFonts w:ascii="Times New Roman" w:eastAsia="Calibri" w:hAnsi="Times New Roman" w:cs="Times New Roman"/>
        </w:rPr>
        <w:tab/>
        <w:t xml:space="preserve">In deciding the preliminary objections, the Commission must determine whether, based on well-pleaded factual averments of the Petitioners, recovery or relief is possible.  </w:t>
      </w:r>
      <w:r w:rsidRPr="006B2932">
        <w:rPr>
          <w:rFonts w:ascii="Times New Roman" w:eastAsia="Calibri" w:hAnsi="Times New Roman" w:cs="Times New Roman"/>
          <w:i/>
        </w:rPr>
        <w:t>Dept. of Auditor General, et al v. SERS, et al.</w:t>
      </w:r>
      <w:r w:rsidRPr="006B2932">
        <w:rPr>
          <w:rFonts w:ascii="Times New Roman" w:eastAsia="Calibri" w:hAnsi="Times New Roman" w:cs="Times New Roman"/>
        </w:rPr>
        <w:t xml:space="preserve">, 836 A.2d 1053, 1064 (Pa. </w:t>
      </w:r>
      <w:proofErr w:type="spellStart"/>
      <w:r w:rsidRPr="006B2932">
        <w:rPr>
          <w:rFonts w:ascii="Times New Roman" w:eastAsia="Calibri" w:hAnsi="Times New Roman" w:cs="Times New Roman"/>
        </w:rPr>
        <w:t>Cmwlth</w:t>
      </w:r>
      <w:proofErr w:type="spellEnd"/>
      <w:r w:rsidRPr="006B2932">
        <w:rPr>
          <w:rFonts w:ascii="Times New Roman" w:eastAsia="Calibri" w:hAnsi="Times New Roman" w:cs="Times New Roman"/>
        </w:rPr>
        <w:t xml:space="preserve">. 2003), 2003 Pa. </w:t>
      </w:r>
      <w:proofErr w:type="spellStart"/>
      <w:r w:rsidRPr="006B2932">
        <w:rPr>
          <w:rFonts w:ascii="Times New Roman" w:eastAsia="Calibri" w:hAnsi="Times New Roman" w:cs="Times New Roman"/>
        </w:rPr>
        <w:t>Commw</w:t>
      </w:r>
      <w:proofErr w:type="spellEnd"/>
      <w:r w:rsidRPr="006B2932">
        <w:rPr>
          <w:rFonts w:ascii="Times New Roman" w:eastAsia="Calibri" w:hAnsi="Times New Roman" w:cs="Times New Roman"/>
        </w:rPr>
        <w:t xml:space="preserve">. LEXIS </w:t>
      </w:r>
      <w:proofErr w:type="gramStart"/>
      <w:r w:rsidRPr="006B2932">
        <w:rPr>
          <w:rFonts w:ascii="Times New Roman" w:eastAsia="Calibri" w:hAnsi="Times New Roman" w:cs="Times New Roman"/>
        </w:rPr>
        <w:t xml:space="preserve">849;  </w:t>
      </w:r>
      <w:r w:rsidRPr="006B2932">
        <w:rPr>
          <w:rFonts w:ascii="Times New Roman" w:eastAsia="Calibri" w:hAnsi="Times New Roman" w:cs="Times New Roman"/>
          <w:i/>
        </w:rPr>
        <w:t>P.J.S.</w:t>
      </w:r>
      <w:proofErr w:type="gramEnd"/>
      <w:r w:rsidRPr="006B2932">
        <w:rPr>
          <w:rFonts w:ascii="Times New Roman" w:eastAsia="Calibri" w:hAnsi="Times New Roman" w:cs="Times New Roman"/>
          <w:i/>
        </w:rPr>
        <w:t xml:space="preserve"> v. Pa. State Ethics Comm’n,</w:t>
      </w:r>
      <w:r w:rsidRPr="006B2932">
        <w:rPr>
          <w:rFonts w:ascii="Times New Roman" w:eastAsia="Calibri" w:hAnsi="Times New Roman" w:cs="Times New Roman"/>
        </w:rPr>
        <w:t xml:space="preserve"> 669 A.2d 1105 (Pa. </w:t>
      </w:r>
      <w:proofErr w:type="spellStart"/>
      <w:r w:rsidRPr="006B2932">
        <w:rPr>
          <w:rFonts w:ascii="Times New Roman" w:eastAsia="Calibri" w:hAnsi="Times New Roman" w:cs="Times New Roman"/>
        </w:rPr>
        <w:t>Cmwlth</w:t>
      </w:r>
      <w:proofErr w:type="spellEnd"/>
      <w:r w:rsidRPr="006B2932">
        <w:rPr>
          <w:rFonts w:ascii="Times New Roman" w:eastAsia="Calibri" w:hAnsi="Times New Roman" w:cs="Times New Roman"/>
        </w:rPr>
        <w:t xml:space="preserve">. 1996) 1996 Pa. </w:t>
      </w:r>
      <w:proofErr w:type="spellStart"/>
      <w:r w:rsidRPr="006B2932">
        <w:rPr>
          <w:rFonts w:ascii="Times New Roman" w:eastAsia="Calibri" w:hAnsi="Times New Roman" w:cs="Times New Roman"/>
        </w:rPr>
        <w:t>Commw</w:t>
      </w:r>
      <w:proofErr w:type="spellEnd"/>
      <w:r w:rsidRPr="006B2932">
        <w:rPr>
          <w:rFonts w:ascii="Times New Roman" w:eastAsia="Calibri" w:hAnsi="Times New Roman" w:cs="Times New Roman"/>
        </w:rPr>
        <w:t xml:space="preserve">. LEXIS 11.  Any doubt must be resolved in favor of the non-moving party by </w:t>
      </w:r>
      <w:r w:rsidRPr="006B2932">
        <w:rPr>
          <w:rFonts w:ascii="Times New Roman" w:eastAsia="Calibri" w:hAnsi="Times New Roman" w:cs="Times New Roman"/>
        </w:rPr>
        <w:lastRenderedPageBreak/>
        <w:t xml:space="preserve">refusing to sustain the preliminary objections.  </w:t>
      </w:r>
      <w:r w:rsidRPr="006B2932">
        <w:rPr>
          <w:rFonts w:ascii="Times New Roman" w:eastAsia="Calibri" w:hAnsi="Times New Roman" w:cs="Times New Roman"/>
          <w:i/>
        </w:rPr>
        <w:t xml:space="preserve">Boyd v. Ward, </w:t>
      </w:r>
      <w:r w:rsidRPr="006B2932">
        <w:rPr>
          <w:rFonts w:ascii="Times New Roman" w:eastAsia="Calibri" w:hAnsi="Times New Roman" w:cs="Times New Roman"/>
        </w:rPr>
        <w:t>802 A.2d 705 (</w:t>
      </w:r>
      <w:proofErr w:type="spellStart"/>
      <w:proofErr w:type="gramStart"/>
      <w:r w:rsidRPr="006B2932">
        <w:rPr>
          <w:rFonts w:ascii="Times New Roman" w:eastAsia="Calibri" w:hAnsi="Times New Roman" w:cs="Times New Roman"/>
        </w:rPr>
        <w:t>Pa.Cmwlth</w:t>
      </w:r>
      <w:proofErr w:type="spellEnd"/>
      <w:proofErr w:type="gramEnd"/>
      <w:r w:rsidRPr="006B2932">
        <w:rPr>
          <w:rFonts w:ascii="Times New Roman" w:eastAsia="Calibri" w:hAnsi="Times New Roman" w:cs="Times New Roman"/>
        </w:rPr>
        <w:t xml:space="preserve">. 2002) 2002 Pa. </w:t>
      </w:r>
      <w:proofErr w:type="spellStart"/>
      <w:r w:rsidRPr="006B2932">
        <w:rPr>
          <w:rFonts w:ascii="Times New Roman" w:eastAsia="Calibri" w:hAnsi="Times New Roman" w:cs="Times New Roman"/>
        </w:rPr>
        <w:t>Commw</w:t>
      </w:r>
      <w:proofErr w:type="spellEnd"/>
      <w:r w:rsidRPr="006B2932">
        <w:rPr>
          <w:rFonts w:ascii="Times New Roman" w:eastAsia="Calibri" w:hAnsi="Times New Roman" w:cs="Times New Roman"/>
        </w:rPr>
        <w:t xml:space="preserve">. LEXIS 580.  </w:t>
      </w:r>
      <w:proofErr w:type="gramStart"/>
      <w:r w:rsidRPr="006B2932">
        <w:rPr>
          <w:rFonts w:ascii="Times New Roman" w:eastAsia="Calibri" w:hAnsi="Times New Roman" w:cs="Times New Roman"/>
        </w:rPr>
        <w:t>All of</w:t>
      </w:r>
      <w:proofErr w:type="gramEnd"/>
      <w:r w:rsidRPr="006B2932">
        <w:rPr>
          <w:rFonts w:ascii="Times New Roman" w:eastAsia="Calibri" w:hAnsi="Times New Roman" w:cs="Times New Roman"/>
        </w:rPr>
        <w:t xml:space="preserve"> the non-moving party’s averments in the complaint must be viewed as true for purposes of deciding the preliminary objections, and only those facts specifically admitted may be considered against the non-moving party.  </w:t>
      </w:r>
      <w:r w:rsidRPr="006B2932">
        <w:rPr>
          <w:rFonts w:ascii="Times New Roman" w:eastAsia="Calibri" w:hAnsi="Times New Roman" w:cs="Times New Roman"/>
          <w:i/>
        </w:rPr>
        <w:t xml:space="preserve">Ridge v. State Employees’ Retirement </w:t>
      </w:r>
      <w:r w:rsidRPr="006B2932">
        <w:rPr>
          <w:rFonts w:ascii="Times New Roman" w:eastAsia="Calibri" w:hAnsi="Times New Roman" w:cs="Times New Roman"/>
        </w:rPr>
        <w:t xml:space="preserve">Board, 690 A.2d 1312 (Pa. </w:t>
      </w:r>
      <w:proofErr w:type="spellStart"/>
      <w:r w:rsidRPr="006B2932">
        <w:rPr>
          <w:rFonts w:ascii="Times New Roman" w:eastAsia="Calibri" w:hAnsi="Times New Roman" w:cs="Times New Roman"/>
        </w:rPr>
        <w:t>Cmwlth</w:t>
      </w:r>
      <w:proofErr w:type="spellEnd"/>
      <w:r w:rsidRPr="006B2932">
        <w:rPr>
          <w:rFonts w:ascii="Times New Roman" w:eastAsia="Calibri" w:hAnsi="Times New Roman" w:cs="Times New Roman"/>
        </w:rPr>
        <w:t xml:space="preserve">. 1997) 1997 Pa. </w:t>
      </w:r>
      <w:proofErr w:type="spellStart"/>
      <w:r w:rsidRPr="006B2932">
        <w:rPr>
          <w:rFonts w:ascii="Times New Roman" w:eastAsia="Calibri" w:hAnsi="Times New Roman" w:cs="Times New Roman"/>
        </w:rPr>
        <w:t>Commw</w:t>
      </w:r>
      <w:proofErr w:type="spellEnd"/>
      <w:r w:rsidRPr="006B2932">
        <w:rPr>
          <w:rFonts w:ascii="Times New Roman" w:eastAsia="Calibri" w:hAnsi="Times New Roman" w:cs="Times New Roman"/>
        </w:rPr>
        <w:t xml:space="preserve">. LEXIS 148.  </w:t>
      </w:r>
    </w:p>
    <w:p w14:paraId="5AD74ADA" w14:textId="77777777" w:rsidR="004B0F34" w:rsidRDefault="004B0F34" w:rsidP="006B2932">
      <w:pPr>
        <w:autoSpaceDE/>
        <w:autoSpaceDN/>
        <w:spacing w:line="360" w:lineRule="auto"/>
        <w:rPr>
          <w:rFonts w:ascii="Times New Roman" w:eastAsia="Calibri" w:hAnsi="Times New Roman" w:cs="Times New Roman"/>
        </w:rPr>
      </w:pPr>
    </w:p>
    <w:p w14:paraId="3887845B" w14:textId="70943D0C" w:rsidR="004B0F34" w:rsidRDefault="004B0F34" w:rsidP="006B2932">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002B7715">
        <w:rPr>
          <w:rFonts w:ascii="Times New Roman" w:eastAsia="Calibri" w:hAnsi="Times New Roman" w:cs="Times New Roman"/>
        </w:rPr>
        <w:t xml:space="preserve">I note that Met-Ed’s Preliminary Objections were filed well before the extensive litigation of smart meter </w:t>
      </w:r>
      <w:r w:rsidR="00641809">
        <w:rPr>
          <w:rFonts w:ascii="Times New Roman" w:eastAsia="Calibri" w:hAnsi="Times New Roman" w:cs="Times New Roman"/>
        </w:rPr>
        <w:t>issues before the appellate courts</w:t>
      </w:r>
      <w:r w:rsidR="00171F5D">
        <w:rPr>
          <w:rFonts w:ascii="Times New Roman" w:eastAsia="Calibri" w:hAnsi="Times New Roman" w:cs="Times New Roman"/>
        </w:rPr>
        <w:t xml:space="preserve"> took place</w:t>
      </w:r>
      <w:r w:rsidR="00641809">
        <w:rPr>
          <w:rFonts w:ascii="Times New Roman" w:eastAsia="Calibri" w:hAnsi="Times New Roman" w:cs="Times New Roman"/>
        </w:rPr>
        <w:t>.  Indeed, the requirement of the filing of briefs</w:t>
      </w:r>
      <w:r w:rsidR="00D22D82">
        <w:rPr>
          <w:rFonts w:ascii="Times New Roman" w:eastAsia="Calibri" w:hAnsi="Times New Roman" w:cs="Times New Roman"/>
        </w:rPr>
        <w:t xml:space="preserve"> </w:t>
      </w:r>
      <w:r w:rsidR="006B2939">
        <w:rPr>
          <w:rFonts w:ascii="Times New Roman" w:eastAsia="Calibri" w:hAnsi="Times New Roman" w:cs="Times New Roman"/>
        </w:rPr>
        <w:t xml:space="preserve">in </w:t>
      </w:r>
      <w:r w:rsidR="00F4740A">
        <w:rPr>
          <w:rFonts w:ascii="Times New Roman" w:eastAsia="Calibri" w:hAnsi="Times New Roman" w:cs="Times New Roman"/>
        </w:rPr>
        <w:t xml:space="preserve">this case in </w:t>
      </w:r>
      <w:r w:rsidR="006B2939">
        <w:rPr>
          <w:rFonts w:ascii="Times New Roman" w:eastAsia="Calibri" w:hAnsi="Times New Roman" w:cs="Times New Roman"/>
        </w:rPr>
        <w:t xml:space="preserve">2019 </w:t>
      </w:r>
      <w:r w:rsidR="00D22D82">
        <w:rPr>
          <w:rFonts w:ascii="Times New Roman" w:eastAsia="Calibri" w:hAnsi="Times New Roman" w:cs="Times New Roman"/>
        </w:rPr>
        <w:t xml:space="preserve">was directed </w:t>
      </w:r>
      <w:proofErr w:type="gramStart"/>
      <w:r w:rsidR="00D22D82">
        <w:rPr>
          <w:rFonts w:ascii="Times New Roman" w:eastAsia="Calibri" w:hAnsi="Times New Roman" w:cs="Times New Roman"/>
        </w:rPr>
        <w:t>in an attempt to</w:t>
      </w:r>
      <w:proofErr w:type="gramEnd"/>
      <w:r w:rsidR="00D22D82">
        <w:rPr>
          <w:rFonts w:ascii="Times New Roman" w:eastAsia="Calibri" w:hAnsi="Times New Roman" w:cs="Times New Roman"/>
        </w:rPr>
        <w:t xml:space="preserve"> resolve </w:t>
      </w:r>
      <w:r w:rsidR="006B2939">
        <w:rPr>
          <w:rFonts w:ascii="Times New Roman" w:eastAsia="Calibri" w:hAnsi="Times New Roman" w:cs="Times New Roman"/>
        </w:rPr>
        <w:t xml:space="preserve">some of the issues later addressed by the courts.  </w:t>
      </w:r>
      <w:proofErr w:type="gramStart"/>
      <w:r w:rsidR="004D4910">
        <w:rPr>
          <w:rFonts w:ascii="Times New Roman" w:eastAsia="Calibri" w:hAnsi="Times New Roman" w:cs="Times New Roman"/>
        </w:rPr>
        <w:t>With the exception of</w:t>
      </w:r>
      <w:proofErr w:type="gramEnd"/>
      <w:r w:rsidR="004D4910">
        <w:rPr>
          <w:rFonts w:ascii="Times New Roman" w:eastAsia="Calibri" w:hAnsi="Times New Roman" w:cs="Times New Roman"/>
        </w:rPr>
        <w:t xml:space="preserve"> the lack of citation in the original </w:t>
      </w:r>
      <w:r w:rsidR="00796E19">
        <w:rPr>
          <w:rFonts w:ascii="Times New Roman" w:eastAsia="Calibri" w:hAnsi="Times New Roman" w:cs="Times New Roman"/>
        </w:rPr>
        <w:t xml:space="preserve">Complaint to a specific provision of the Code, a regulation of the Commission, </w:t>
      </w:r>
      <w:r w:rsidR="00F5232A">
        <w:rPr>
          <w:rFonts w:ascii="Times New Roman" w:eastAsia="Calibri" w:hAnsi="Times New Roman" w:cs="Times New Roman"/>
        </w:rPr>
        <w:t>or a provision of Met-Ed’s tariff allegedly violated by Met-Ed</w:t>
      </w:r>
      <w:r w:rsidR="00422928">
        <w:rPr>
          <w:rFonts w:ascii="Times New Roman" w:eastAsia="Calibri" w:hAnsi="Times New Roman" w:cs="Times New Roman"/>
        </w:rPr>
        <w:t>,</w:t>
      </w:r>
      <w:r w:rsidR="00220C53">
        <w:rPr>
          <w:rFonts w:ascii="Times New Roman" w:eastAsia="Calibri" w:hAnsi="Times New Roman" w:cs="Times New Roman"/>
        </w:rPr>
        <w:t xml:space="preserve"> the Company’s Preliminary Objections are now m</w:t>
      </w:r>
      <w:r w:rsidR="000E5C1B">
        <w:rPr>
          <w:rFonts w:ascii="Times New Roman" w:eastAsia="Calibri" w:hAnsi="Times New Roman" w:cs="Times New Roman"/>
        </w:rPr>
        <w:t xml:space="preserve">oot based on the decision of the Pennsylvania Supreme Court in </w:t>
      </w:r>
      <w:r w:rsidR="000E5C1B" w:rsidRPr="000E5C1B">
        <w:rPr>
          <w:rFonts w:ascii="Times New Roman" w:eastAsia="Calibri" w:hAnsi="Times New Roman" w:cs="Times New Roman"/>
          <w:i/>
          <w:iCs/>
        </w:rPr>
        <w:t>Povacz II</w:t>
      </w:r>
      <w:r w:rsidR="000E5C1B">
        <w:rPr>
          <w:rFonts w:ascii="Times New Roman" w:eastAsia="Calibri" w:hAnsi="Times New Roman" w:cs="Times New Roman"/>
        </w:rPr>
        <w:t xml:space="preserve">.  </w:t>
      </w:r>
      <w:r w:rsidR="00624583">
        <w:rPr>
          <w:rFonts w:ascii="Times New Roman" w:eastAsia="Calibri" w:hAnsi="Times New Roman" w:cs="Times New Roman"/>
        </w:rPr>
        <w:t xml:space="preserve"> With respect to the issue of specific </w:t>
      </w:r>
      <w:r w:rsidR="008F0B38">
        <w:rPr>
          <w:rFonts w:ascii="Times New Roman" w:eastAsia="Calibri" w:hAnsi="Times New Roman" w:cs="Times New Roman"/>
        </w:rPr>
        <w:t>allegations (or rather, lack thereof), in the original Complaint, I note that Complainant is not an attorney</w:t>
      </w:r>
      <w:r w:rsidR="00FD102C">
        <w:rPr>
          <w:rFonts w:ascii="Times New Roman" w:eastAsia="Calibri" w:hAnsi="Times New Roman" w:cs="Times New Roman"/>
        </w:rPr>
        <w:t xml:space="preserve"> and so omitted such a reference</w:t>
      </w:r>
      <w:r w:rsidR="001126AE">
        <w:rPr>
          <w:rFonts w:ascii="Times New Roman" w:eastAsia="Calibri" w:hAnsi="Times New Roman" w:cs="Times New Roman"/>
        </w:rPr>
        <w:t>, and (more importantly) the Pennsylvania Supr</w:t>
      </w:r>
      <w:r w:rsidR="00257165">
        <w:rPr>
          <w:rFonts w:ascii="Times New Roman" w:eastAsia="Calibri" w:hAnsi="Times New Roman" w:cs="Times New Roman"/>
        </w:rPr>
        <w:t xml:space="preserve">eme Court decision in </w:t>
      </w:r>
      <w:r w:rsidR="00257165" w:rsidRPr="00B9578A">
        <w:rPr>
          <w:rFonts w:ascii="Times New Roman" w:eastAsia="Calibri" w:hAnsi="Times New Roman" w:cs="Times New Roman"/>
          <w:i/>
          <w:iCs/>
        </w:rPr>
        <w:t>Povacz II</w:t>
      </w:r>
      <w:r w:rsidR="00257165">
        <w:rPr>
          <w:rFonts w:ascii="Times New Roman" w:eastAsia="Calibri" w:hAnsi="Times New Roman" w:cs="Times New Roman"/>
        </w:rPr>
        <w:t xml:space="preserve"> places smart meter cases such a</w:t>
      </w:r>
      <w:r w:rsidR="00DD6773">
        <w:rPr>
          <w:rFonts w:ascii="Times New Roman" w:eastAsia="Calibri" w:hAnsi="Times New Roman" w:cs="Times New Roman"/>
        </w:rPr>
        <w:t>s</w:t>
      </w:r>
      <w:r w:rsidR="00257165">
        <w:rPr>
          <w:rFonts w:ascii="Times New Roman" w:eastAsia="Calibri" w:hAnsi="Times New Roman" w:cs="Times New Roman"/>
        </w:rPr>
        <w:t xml:space="preserve"> Complainant’s </w:t>
      </w:r>
      <w:r w:rsidR="00841890">
        <w:rPr>
          <w:rFonts w:ascii="Times New Roman" w:eastAsia="Calibri" w:hAnsi="Times New Roman" w:cs="Times New Roman"/>
        </w:rPr>
        <w:t>squarely under Section 1501 of the Code</w:t>
      </w:r>
      <w:r w:rsidR="00B9578A">
        <w:rPr>
          <w:rFonts w:ascii="Times New Roman" w:eastAsia="Calibri" w:hAnsi="Times New Roman" w:cs="Times New Roman"/>
        </w:rPr>
        <w:t xml:space="preserve"> which states, in pertinent part</w:t>
      </w:r>
      <w:r w:rsidR="008D1BC8">
        <w:rPr>
          <w:rFonts w:ascii="Times New Roman" w:eastAsia="Calibri" w:hAnsi="Times New Roman" w:cs="Times New Roman"/>
        </w:rPr>
        <w:t>:</w:t>
      </w:r>
    </w:p>
    <w:p w14:paraId="1EB300A0" w14:textId="77777777" w:rsidR="00841890" w:rsidRDefault="00841890" w:rsidP="006B2932">
      <w:pPr>
        <w:autoSpaceDE/>
        <w:autoSpaceDN/>
        <w:spacing w:line="360" w:lineRule="auto"/>
        <w:rPr>
          <w:rFonts w:ascii="Times New Roman" w:eastAsia="Calibri" w:hAnsi="Times New Roman" w:cs="Times New Roman"/>
        </w:rPr>
      </w:pPr>
    </w:p>
    <w:p w14:paraId="3318313B" w14:textId="77777777" w:rsidR="00A3554F" w:rsidRPr="00A3554F" w:rsidRDefault="00A3554F" w:rsidP="00A3554F">
      <w:pPr>
        <w:autoSpaceDE/>
        <w:autoSpaceDN/>
        <w:ind w:left="1440" w:right="720"/>
        <w:rPr>
          <w:rFonts w:ascii="Times New Roman" w:eastAsia="Calibri" w:hAnsi="Times New Roman" w:cs="Times New Roman"/>
        </w:rPr>
      </w:pPr>
      <w:r w:rsidRPr="00A3554F">
        <w:rPr>
          <w:rFonts w:ascii="Times New Roman" w:eastAsia="Calibri" w:hAnsi="Times New Roman" w:cs="Times New Roman"/>
        </w:rPr>
        <w:t>Character of service and facilities.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4225665F" w14:textId="77777777" w:rsidR="00A3554F" w:rsidRPr="00A3554F" w:rsidRDefault="00A3554F" w:rsidP="00A3554F">
      <w:pPr>
        <w:autoSpaceDE/>
        <w:autoSpaceDN/>
        <w:spacing w:line="360" w:lineRule="auto"/>
        <w:rPr>
          <w:rFonts w:ascii="Times New Roman" w:eastAsia="Calibri" w:hAnsi="Times New Roman" w:cs="Times New Roman"/>
        </w:rPr>
      </w:pPr>
    </w:p>
    <w:p w14:paraId="2FD51E5C" w14:textId="77777777" w:rsidR="00A3554F" w:rsidRPr="00A3554F" w:rsidRDefault="00A3554F" w:rsidP="00A3554F">
      <w:pPr>
        <w:autoSpaceDE/>
        <w:autoSpaceDN/>
        <w:spacing w:line="360" w:lineRule="auto"/>
        <w:rPr>
          <w:rFonts w:ascii="Times New Roman" w:eastAsia="Calibri" w:hAnsi="Times New Roman" w:cs="Times New Roman"/>
        </w:rPr>
      </w:pPr>
      <w:r w:rsidRPr="00A3554F">
        <w:rPr>
          <w:rFonts w:ascii="Times New Roman" w:eastAsia="Calibri" w:hAnsi="Times New Roman" w:cs="Times New Roman"/>
        </w:rPr>
        <w:t>66 Pa. C.S. §1501</w:t>
      </w:r>
    </w:p>
    <w:p w14:paraId="1DFA6CB7" w14:textId="77777777" w:rsidR="00A3554F" w:rsidRPr="00A3554F" w:rsidRDefault="00A3554F" w:rsidP="00A3554F">
      <w:pPr>
        <w:autoSpaceDE/>
        <w:autoSpaceDN/>
        <w:spacing w:line="360" w:lineRule="auto"/>
        <w:rPr>
          <w:rFonts w:ascii="Times New Roman" w:eastAsia="Calibri" w:hAnsi="Times New Roman" w:cs="Times New Roman"/>
        </w:rPr>
      </w:pPr>
    </w:p>
    <w:p w14:paraId="2B297249" w14:textId="77777777" w:rsidR="00A3554F" w:rsidRPr="00A3554F" w:rsidRDefault="00A3554F" w:rsidP="00A3554F">
      <w:pPr>
        <w:autoSpaceDE/>
        <w:autoSpaceDN/>
        <w:spacing w:line="360" w:lineRule="auto"/>
        <w:rPr>
          <w:rFonts w:ascii="Times New Roman" w:eastAsia="Calibri" w:hAnsi="Times New Roman" w:cs="Times New Roman"/>
        </w:rPr>
      </w:pPr>
      <w:r w:rsidRPr="00A3554F">
        <w:rPr>
          <w:rFonts w:ascii="Times New Roman" w:eastAsia="Calibri" w:hAnsi="Times New Roman" w:cs="Times New Roman"/>
        </w:rPr>
        <w:tab/>
      </w:r>
      <w:r w:rsidRPr="00A3554F">
        <w:rPr>
          <w:rFonts w:ascii="Times New Roman" w:eastAsia="Calibri" w:hAnsi="Times New Roman" w:cs="Times New Roman"/>
        </w:rPr>
        <w:tab/>
        <w:t xml:space="preserve">The statute at 66 Pa. C.S. §1501 governs any allegations of unreasonable or inadequate service.  Pursuant to 66 Pa. C.S. §1501, the Commission has original jurisdiction over the reasonableness and adequacy of public utility service.  </w:t>
      </w:r>
      <w:r w:rsidRPr="00A3554F">
        <w:rPr>
          <w:rFonts w:ascii="Times New Roman" w:eastAsia="Calibri" w:hAnsi="Times New Roman" w:cs="Times New Roman"/>
          <w:i/>
          <w:iCs/>
        </w:rPr>
        <w:t>Elkin v. Bell Telephone Co</w:t>
      </w:r>
      <w:r w:rsidRPr="00A3554F">
        <w:rPr>
          <w:rFonts w:ascii="Times New Roman" w:eastAsia="Calibri" w:hAnsi="Times New Roman" w:cs="Times New Roman"/>
        </w:rPr>
        <w:t xml:space="preserve">., 372 A.2d </w:t>
      </w:r>
      <w:r w:rsidRPr="00A3554F">
        <w:rPr>
          <w:rFonts w:ascii="Times New Roman" w:eastAsia="Calibri" w:hAnsi="Times New Roman" w:cs="Times New Roman"/>
        </w:rPr>
        <w:lastRenderedPageBreak/>
        <w:t xml:space="preserve">1203 (Pa. Super. 1977) aff’d 420 A.2d 371 (Pa. 1977); </w:t>
      </w:r>
      <w:r w:rsidRPr="00A3554F">
        <w:rPr>
          <w:rFonts w:ascii="Times New Roman" w:eastAsia="Calibri" w:hAnsi="Times New Roman" w:cs="Times New Roman"/>
          <w:i/>
          <w:iCs/>
        </w:rPr>
        <w:t>Behrend v. Bell Telephone Co</w:t>
      </w:r>
      <w:r w:rsidRPr="00A3554F">
        <w:rPr>
          <w:rFonts w:ascii="Times New Roman" w:eastAsia="Calibri" w:hAnsi="Times New Roman" w:cs="Times New Roman"/>
        </w:rPr>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A3554F">
        <w:rPr>
          <w:rFonts w:ascii="Times New Roman" w:eastAsia="Calibri" w:hAnsi="Times New Roman" w:cs="Times New Roman"/>
          <w:i/>
          <w:iCs/>
        </w:rPr>
        <w:t>Analytical Laboratory Services, Inc. v. Metropolitan Edison Co</w:t>
      </w:r>
      <w:r w:rsidRPr="00A3554F">
        <w:rPr>
          <w:rFonts w:ascii="Times New Roman" w:eastAsia="Calibri" w:hAnsi="Times New Roman" w:cs="Times New Roman"/>
        </w:rPr>
        <w:t xml:space="preserve">., Docket No. C-2006608 (Order entered December 21, 2007); </w:t>
      </w:r>
      <w:r w:rsidRPr="00A3554F">
        <w:rPr>
          <w:rFonts w:ascii="Times New Roman" w:eastAsia="Calibri" w:hAnsi="Times New Roman" w:cs="Times New Roman"/>
          <w:i/>
          <w:iCs/>
        </w:rPr>
        <w:t>Emerald Art Glass v. Duquesne Light Co</w:t>
      </w:r>
      <w:r w:rsidRPr="00A3554F">
        <w:rPr>
          <w:rFonts w:ascii="Times New Roman" w:eastAsia="Calibri" w:hAnsi="Times New Roman" w:cs="Times New Roman"/>
        </w:rPr>
        <w:t xml:space="preserve">., Docket No. C-00015494 (Order entered June 14, 2002); </w:t>
      </w:r>
      <w:r w:rsidRPr="00A3554F">
        <w:rPr>
          <w:rFonts w:ascii="Times New Roman" w:eastAsia="Calibri" w:hAnsi="Times New Roman" w:cs="Times New Roman"/>
          <w:i/>
          <w:iCs/>
        </w:rPr>
        <w:t>Re: Metropolitan Edison Co</w:t>
      </w:r>
      <w:r w:rsidRPr="00A3554F">
        <w:rPr>
          <w:rFonts w:ascii="Times New Roman" w:eastAsia="Calibri" w:hAnsi="Times New Roman" w:cs="Times New Roman"/>
        </w:rPr>
        <w:t>., 80 Pa. PUC 662 (1993).</w:t>
      </w:r>
    </w:p>
    <w:p w14:paraId="2FCBA3C6" w14:textId="77777777" w:rsidR="00841890" w:rsidRPr="006B2932" w:rsidRDefault="00841890" w:rsidP="006B2932">
      <w:pPr>
        <w:autoSpaceDE/>
        <w:autoSpaceDN/>
        <w:spacing w:line="360" w:lineRule="auto"/>
        <w:rPr>
          <w:rFonts w:ascii="Times New Roman" w:eastAsia="Calibri" w:hAnsi="Times New Roman" w:cs="Times New Roman"/>
        </w:rPr>
      </w:pPr>
    </w:p>
    <w:p w14:paraId="30061E99" w14:textId="3D9A24D6" w:rsidR="0073266D" w:rsidRDefault="00413BD4" w:rsidP="00413BD4">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r>
      <w:r w:rsidRPr="00043DE1">
        <w:rPr>
          <w:rFonts w:ascii="Times New Roman" w:hAnsi="Times New Roman"/>
          <w:i/>
          <w:iCs/>
        </w:rPr>
        <w:t>Povacz II</w:t>
      </w:r>
      <w:r>
        <w:rPr>
          <w:rFonts w:ascii="Times New Roman" w:hAnsi="Times New Roman"/>
        </w:rPr>
        <w:t xml:space="preserve"> also set forth </w:t>
      </w:r>
      <w:r w:rsidR="000420AC">
        <w:rPr>
          <w:rFonts w:ascii="Times New Roman" w:hAnsi="Times New Roman"/>
        </w:rPr>
        <w:t xml:space="preserve">a discussion as to </w:t>
      </w:r>
      <w:r>
        <w:rPr>
          <w:rFonts w:ascii="Times New Roman" w:hAnsi="Times New Roman"/>
        </w:rPr>
        <w:t xml:space="preserve">such relief as the Commission might afford a Complainant who meets his or her burden in a smart meter complaint </w:t>
      </w:r>
      <w:r w:rsidR="00043DE1">
        <w:rPr>
          <w:rFonts w:ascii="Times New Roman" w:hAnsi="Times New Roman"/>
        </w:rPr>
        <w:t>proceeding.</w:t>
      </w:r>
    </w:p>
    <w:p w14:paraId="43216D42" w14:textId="77777777" w:rsidR="00043DE1" w:rsidRDefault="00043DE1" w:rsidP="00413BD4">
      <w:pPr>
        <w:tabs>
          <w:tab w:val="left" w:pos="0"/>
        </w:tabs>
        <w:autoSpaceDE/>
        <w:autoSpaceDN/>
        <w:spacing w:line="360" w:lineRule="auto"/>
        <w:rPr>
          <w:rFonts w:ascii="Times New Roman" w:hAnsi="Times New Roman"/>
        </w:rPr>
      </w:pPr>
    </w:p>
    <w:p w14:paraId="06099A90" w14:textId="031D2209" w:rsidR="00043DE1" w:rsidRDefault="00043DE1" w:rsidP="00413BD4">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t xml:space="preserve">Considering the </w:t>
      </w:r>
      <w:r w:rsidR="00B3096F">
        <w:rPr>
          <w:rFonts w:ascii="Times New Roman" w:hAnsi="Times New Roman"/>
        </w:rPr>
        <w:t xml:space="preserve">scope and directives in the </w:t>
      </w:r>
      <w:r w:rsidR="00B3096F" w:rsidRPr="008D1BC8">
        <w:rPr>
          <w:rFonts w:ascii="Times New Roman" w:hAnsi="Times New Roman"/>
          <w:i/>
          <w:iCs/>
        </w:rPr>
        <w:t>Povacz II</w:t>
      </w:r>
      <w:r w:rsidR="00B3096F">
        <w:rPr>
          <w:rFonts w:ascii="Times New Roman" w:hAnsi="Times New Roman"/>
        </w:rPr>
        <w:t xml:space="preserve"> decision, Met-Ed’s Preliminary Objections are denied as moot.</w:t>
      </w:r>
    </w:p>
    <w:p w14:paraId="5C4032A0" w14:textId="77777777" w:rsidR="006B2932" w:rsidRDefault="006B2932" w:rsidP="00D7108A">
      <w:pPr>
        <w:tabs>
          <w:tab w:val="left" w:pos="0"/>
          <w:tab w:val="left" w:pos="1440"/>
        </w:tabs>
        <w:autoSpaceDE/>
        <w:autoSpaceDN/>
        <w:spacing w:line="360" w:lineRule="auto"/>
        <w:rPr>
          <w:rFonts w:ascii="Times New Roman" w:hAnsi="Times New Roman"/>
        </w:rPr>
      </w:pPr>
    </w:p>
    <w:p w14:paraId="0FD402CD" w14:textId="28D9D847" w:rsidR="006B2932" w:rsidRPr="00C11515" w:rsidRDefault="0070611A" w:rsidP="00D7108A">
      <w:pPr>
        <w:tabs>
          <w:tab w:val="left" w:pos="0"/>
          <w:tab w:val="left" w:pos="1440"/>
        </w:tabs>
        <w:autoSpaceDE/>
        <w:autoSpaceDN/>
        <w:spacing w:line="360" w:lineRule="auto"/>
        <w:rPr>
          <w:rFonts w:ascii="Times New Roman" w:hAnsi="Times New Roman"/>
          <w:u w:val="single"/>
        </w:rPr>
      </w:pPr>
      <w:r w:rsidRPr="00C11515">
        <w:rPr>
          <w:rFonts w:ascii="Times New Roman" w:hAnsi="Times New Roman"/>
          <w:u w:val="single"/>
        </w:rPr>
        <w:t xml:space="preserve">Scope of the </w:t>
      </w:r>
      <w:r w:rsidR="00C11515">
        <w:rPr>
          <w:rFonts w:ascii="Times New Roman" w:hAnsi="Times New Roman"/>
          <w:u w:val="single"/>
        </w:rPr>
        <w:t xml:space="preserve">Pending </w:t>
      </w:r>
      <w:r w:rsidRPr="00C11515">
        <w:rPr>
          <w:rFonts w:ascii="Times New Roman" w:hAnsi="Times New Roman"/>
          <w:u w:val="single"/>
        </w:rPr>
        <w:t>Evidentiary Hearing</w:t>
      </w:r>
    </w:p>
    <w:p w14:paraId="042F8704" w14:textId="77777777" w:rsidR="00EF0B50" w:rsidRDefault="00EF0B50" w:rsidP="00D7108A">
      <w:pPr>
        <w:tabs>
          <w:tab w:val="left" w:pos="0"/>
          <w:tab w:val="left" w:pos="1440"/>
        </w:tabs>
        <w:autoSpaceDE/>
        <w:autoSpaceDN/>
        <w:spacing w:line="360" w:lineRule="auto"/>
        <w:rPr>
          <w:rFonts w:ascii="Times New Roman" w:hAnsi="Times New Roman"/>
        </w:rPr>
      </w:pPr>
    </w:p>
    <w:p w14:paraId="09589405" w14:textId="62DE0B82" w:rsidR="00746992" w:rsidRDefault="00EF0B50" w:rsidP="009A0C1C">
      <w:pPr>
        <w:tabs>
          <w:tab w:val="left" w:pos="0"/>
          <w:tab w:val="left" w:pos="1440"/>
        </w:tabs>
        <w:autoSpaceDE/>
        <w:autoSpaceDN/>
        <w:spacing w:line="360" w:lineRule="auto"/>
        <w:rPr>
          <w:rFonts w:ascii="Times New Roman" w:hAnsi="Times New Roman"/>
        </w:rPr>
      </w:pPr>
      <w:r>
        <w:rPr>
          <w:rFonts w:ascii="Times New Roman" w:hAnsi="Times New Roman"/>
        </w:rPr>
        <w:tab/>
      </w:r>
      <w:r w:rsidR="00770ED0">
        <w:rPr>
          <w:rFonts w:ascii="Times New Roman" w:hAnsi="Times New Roman"/>
        </w:rPr>
        <w:t xml:space="preserve">The </w:t>
      </w:r>
      <w:r w:rsidR="00F21F6B">
        <w:rPr>
          <w:rFonts w:ascii="Times New Roman" w:hAnsi="Times New Roman"/>
        </w:rPr>
        <w:t xml:space="preserve">Pennsylvania Supreme Court </w:t>
      </w:r>
      <w:r w:rsidR="002932FD">
        <w:rPr>
          <w:rFonts w:ascii="Times New Roman" w:hAnsi="Times New Roman"/>
        </w:rPr>
        <w:t xml:space="preserve">in </w:t>
      </w:r>
      <w:bookmarkStart w:id="4" w:name="_Hlk161759648"/>
      <w:r w:rsidR="00D567F2" w:rsidRPr="00770ED0">
        <w:rPr>
          <w:rFonts w:ascii="Times New Roman" w:hAnsi="Times New Roman"/>
          <w:i/>
          <w:iCs/>
        </w:rPr>
        <w:t>Povacz II</w:t>
      </w:r>
      <w:r w:rsidR="002932FD" w:rsidRPr="00770ED0">
        <w:rPr>
          <w:rFonts w:ascii="Times New Roman" w:hAnsi="Times New Roman"/>
        </w:rPr>
        <w:t xml:space="preserve"> </w:t>
      </w:r>
      <w:bookmarkEnd w:id="4"/>
      <w:r w:rsidR="002932FD" w:rsidRPr="00770ED0">
        <w:rPr>
          <w:rFonts w:ascii="Times New Roman" w:hAnsi="Times New Roman"/>
        </w:rPr>
        <w:t xml:space="preserve">resolved </w:t>
      </w:r>
      <w:r w:rsidR="00EE2219" w:rsidRPr="00770ED0">
        <w:rPr>
          <w:rFonts w:ascii="Times New Roman" w:hAnsi="Times New Roman"/>
        </w:rPr>
        <w:t xml:space="preserve">all issues </w:t>
      </w:r>
      <w:r w:rsidR="009A0C1C" w:rsidRPr="00770ED0">
        <w:rPr>
          <w:rFonts w:ascii="Times New Roman" w:hAnsi="Times New Roman"/>
        </w:rPr>
        <w:t xml:space="preserve">relative </w:t>
      </w:r>
      <w:r w:rsidR="00F26855" w:rsidRPr="00770ED0">
        <w:rPr>
          <w:rFonts w:ascii="Times New Roman" w:hAnsi="Times New Roman"/>
        </w:rPr>
        <w:t xml:space="preserve">to the </w:t>
      </w:r>
      <w:r w:rsidR="00B918CD" w:rsidRPr="00770ED0">
        <w:rPr>
          <w:rFonts w:ascii="Times New Roman" w:hAnsi="Times New Roman"/>
        </w:rPr>
        <w:t xml:space="preserve">legislative intent </w:t>
      </w:r>
      <w:r w:rsidR="00F26855" w:rsidRPr="00770ED0">
        <w:rPr>
          <w:rFonts w:ascii="Times New Roman" w:hAnsi="Times New Roman"/>
        </w:rPr>
        <w:t xml:space="preserve">of “smart meter” placement </w:t>
      </w:r>
      <w:r w:rsidR="007F7BE2" w:rsidRPr="00770ED0">
        <w:rPr>
          <w:rFonts w:ascii="Times New Roman" w:hAnsi="Times New Roman"/>
        </w:rPr>
        <w:t xml:space="preserve">under Act </w:t>
      </w:r>
      <w:r w:rsidR="00F4347E" w:rsidRPr="00770ED0">
        <w:rPr>
          <w:rFonts w:ascii="Times New Roman" w:hAnsi="Times New Roman"/>
        </w:rPr>
        <w:t>129 and</w:t>
      </w:r>
      <w:r w:rsidR="00DE0527" w:rsidRPr="00770ED0">
        <w:rPr>
          <w:rFonts w:ascii="Times New Roman" w:hAnsi="Times New Roman"/>
        </w:rPr>
        <w:t xml:space="preserve"> </w:t>
      </w:r>
      <w:r w:rsidR="007F7BE2" w:rsidRPr="00770ED0">
        <w:rPr>
          <w:rFonts w:ascii="Times New Roman" w:hAnsi="Times New Roman"/>
        </w:rPr>
        <w:t xml:space="preserve">defined </w:t>
      </w:r>
      <w:r w:rsidR="00DE0527" w:rsidRPr="00770ED0">
        <w:rPr>
          <w:rFonts w:ascii="Times New Roman" w:hAnsi="Times New Roman"/>
        </w:rPr>
        <w:t xml:space="preserve">the </w:t>
      </w:r>
      <w:r w:rsidR="00EE2219" w:rsidRPr="00770ED0">
        <w:rPr>
          <w:rFonts w:ascii="Times New Roman" w:hAnsi="Times New Roman"/>
        </w:rPr>
        <w:t>li</w:t>
      </w:r>
      <w:r w:rsidR="00B84025" w:rsidRPr="00770ED0">
        <w:rPr>
          <w:rFonts w:ascii="Times New Roman" w:hAnsi="Times New Roman"/>
        </w:rPr>
        <w:t>tigation</w:t>
      </w:r>
      <w:r w:rsidR="00EE2219" w:rsidRPr="00770ED0">
        <w:rPr>
          <w:rFonts w:ascii="Times New Roman" w:hAnsi="Times New Roman"/>
        </w:rPr>
        <w:t xml:space="preserve"> and adjudicative </w:t>
      </w:r>
      <w:r w:rsidR="00DE0527" w:rsidRPr="00770ED0">
        <w:rPr>
          <w:rFonts w:ascii="Times New Roman" w:hAnsi="Times New Roman"/>
        </w:rPr>
        <w:t xml:space="preserve">requirements of </w:t>
      </w:r>
      <w:r w:rsidR="002F514A" w:rsidRPr="00770ED0">
        <w:rPr>
          <w:rFonts w:ascii="Times New Roman" w:hAnsi="Times New Roman"/>
        </w:rPr>
        <w:t>this and other “smart meter” proceedings.</w:t>
      </w:r>
      <w:r w:rsidR="002F514A">
        <w:rPr>
          <w:rFonts w:ascii="Times New Roman" w:hAnsi="Times New Roman"/>
        </w:rPr>
        <w:t xml:space="preserve">  In sum, </w:t>
      </w:r>
      <w:r w:rsidR="002F514A" w:rsidRPr="00770ED0">
        <w:rPr>
          <w:rFonts w:ascii="Times New Roman" w:hAnsi="Times New Roman"/>
        </w:rPr>
        <w:t xml:space="preserve">the Supreme Court noted that while Act 129 does </w:t>
      </w:r>
      <w:r w:rsidR="002F514A" w:rsidRPr="00770ED0">
        <w:rPr>
          <w:rFonts w:ascii="Times New Roman" w:hAnsi="Times New Roman"/>
          <w:u w:val="single"/>
        </w:rPr>
        <w:t>not</w:t>
      </w:r>
      <w:r w:rsidR="002F514A" w:rsidRPr="00770ED0">
        <w:rPr>
          <w:rFonts w:ascii="Times New Roman" w:hAnsi="Times New Roman"/>
        </w:rPr>
        <w:t xml:space="preserve"> provide customers with the right to opt-out of </w:t>
      </w:r>
      <w:r w:rsidR="00B0424B" w:rsidRPr="00770ED0">
        <w:rPr>
          <w:rFonts w:ascii="Times New Roman" w:hAnsi="Times New Roman"/>
        </w:rPr>
        <w:t>“</w:t>
      </w:r>
      <w:r w:rsidR="002F514A" w:rsidRPr="00770ED0">
        <w:rPr>
          <w:rFonts w:ascii="Times New Roman" w:hAnsi="Times New Roman"/>
        </w:rPr>
        <w:t>smart meter</w:t>
      </w:r>
      <w:r w:rsidR="00B0424B" w:rsidRPr="00770ED0">
        <w:rPr>
          <w:rFonts w:ascii="Times New Roman" w:hAnsi="Times New Roman"/>
        </w:rPr>
        <w:t>”</w:t>
      </w:r>
      <w:r w:rsidR="002F514A" w:rsidRPr="00770ED0">
        <w:rPr>
          <w:rFonts w:ascii="Times New Roman" w:hAnsi="Times New Roman"/>
        </w:rPr>
        <w:t xml:space="preserve"> installation at their residence</w:t>
      </w:r>
      <w:r w:rsidR="002F514A" w:rsidRPr="002F514A">
        <w:rPr>
          <w:rFonts w:ascii="Times New Roman" w:hAnsi="Times New Roman"/>
        </w:rPr>
        <w:t xml:space="preserve">, they may file a complaint with the Commission </w:t>
      </w:r>
      <w:r w:rsidR="00226C0D">
        <w:rPr>
          <w:rFonts w:ascii="Times New Roman" w:hAnsi="Times New Roman"/>
        </w:rPr>
        <w:t xml:space="preserve">(as has been done in this case) </w:t>
      </w:r>
      <w:r w:rsidR="002F514A" w:rsidRPr="002F514A">
        <w:rPr>
          <w:rFonts w:ascii="Times New Roman" w:hAnsi="Times New Roman"/>
        </w:rPr>
        <w:t xml:space="preserve">raising a claim that installation of a </w:t>
      </w:r>
      <w:r w:rsidR="00B0424B">
        <w:rPr>
          <w:rFonts w:ascii="Times New Roman" w:hAnsi="Times New Roman"/>
        </w:rPr>
        <w:t>“</w:t>
      </w:r>
      <w:r w:rsidR="002F514A" w:rsidRPr="002F514A">
        <w:rPr>
          <w:rFonts w:ascii="Times New Roman" w:hAnsi="Times New Roman"/>
        </w:rPr>
        <w:t>smart meter</w:t>
      </w:r>
      <w:r w:rsidR="00B0424B">
        <w:rPr>
          <w:rFonts w:ascii="Times New Roman" w:hAnsi="Times New Roman"/>
        </w:rPr>
        <w:t>”</w:t>
      </w:r>
      <w:r w:rsidR="002F514A" w:rsidRPr="002F514A">
        <w:rPr>
          <w:rFonts w:ascii="Times New Roman" w:hAnsi="Times New Roman"/>
        </w:rPr>
        <w:t xml:space="preserve"> violates Section 1501 of the Code, 66 </w:t>
      </w:r>
      <w:proofErr w:type="spellStart"/>
      <w:r w:rsidR="002F514A" w:rsidRPr="002F514A">
        <w:rPr>
          <w:rFonts w:ascii="Times New Roman" w:hAnsi="Times New Roman"/>
        </w:rPr>
        <w:t>Pa.C.S</w:t>
      </w:r>
      <w:proofErr w:type="spellEnd"/>
      <w:r w:rsidR="002F514A" w:rsidRPr="002F514A">
        <w:rPr>
          <w:rFonts w:ascii="Times New Roman" w:hAnsi="Times New Roman"/>
        </w:rPr>
        <w:t>. § 1501</w:t>
      </w:r>
      <w:r w:rsidR="00866924">
        <w:rPr>
          <w:rFonts w:ascii="Times New Roman" w:hAnsi="Times New Roman"/>
        </w:rPr>
        <w:t>, as explained, above.</w:t>
      </w:r>
      <w:r w:rsidR="001B214F">
        <w:rPr>
          <w:rFonts w:ascii="Times New Roman" w:hAnsi="Times New Roman"/>
        </w:rPr>
        <w:t xml:space="preserve">  See </w:t>
      </w:r>
      <w:r w:rsidR="001B214F" w:rsidRPr="001B214F">
        <w:rPr>
          <w:rFonts w:ascii="Times New Roman" w:hAnsi="Times New Roman"/>
          <w:i/>
          <w:iCs/>
        </w:rPr>
        <w:t>Povacz II</w:t>
      </w:r>
      <w:r w:rsidR="001B214F">
        <w:rPr>
          <w:rFonts w:ascii="Times New Roman" w:hAnsi="Times New Roman"/>
        </w:rPr>
        <w:t xml:space="preserve"> at 983-984</w:t>
      </w:r>
      <w:r w:rsidR="001229E9">
        <w:rPr>
          <w:rFonts w:ascii="Times New Roman" w:hAnsi="Times New Roman"/>
        </w:rPr>
        <w:t>, 999</w:t>
      </w:r>
      <w:r w:rsidR="001B214F">
        <w:rPr>
          <w:rFonts w:ascii="Times New Roman" w:hAnsi="Times New Roman"/>
        </w:rPr>
        <w:t>.</w:t>
      </w:r>
    </w:p>
    <w:p w14:paraId="36DA7489" w14:textId="77777777" w:rsidR="00F4347E" w:rsidRDefault="00F4347E" w:rsidP="009A0C1C">
      <w:pPr>
        <w:tabs>
          <w:tab w:val="left" w:pos="0"/>
          <w:tab w:val="left" w:pos="1440"/>
        </w:tabs>
        <w:autoSpaceDE/>
        <w:autoSpaceDN/>
        <w:spacing w:line="360" w:lineRule="auto"/>
        <w:rPr>
          <w:rFonts w:ascii="Times New Roman" w:hAnsi="Times New Roman"/>
        </w:rPr>
      </w:pPr>
    </w:p>
    <w:p w14:paraId="033780E5" w14:textId="4D45C680" w:rsidR="00EF0B50" w:rsidRDefault="00532C94" w:rsidP="009A0C1C">
      <w:pPr>
        <w:tabs>
          <w:tab w:val="left" w:pos="0"/>
          <w:tab w:val="left" w:pos="1440"/>
        </w:tabs>
        <w:autoSpaceDE/>
        <w:autoSpaceDN/>
        <w:spacing w:line="360" w:lineRule="auto"/>
        <w:rPr>
          <w:rFonts w:ascii="Times New Roman" w:hAnsi="Times New Roman"/>
        </w:rPr>
      </w:pPr>
      <w:r>
        <w:rPr>
          <w:rFonts w:ascii="Times New Roman" w:hAnsi="Times New Roman"/>
        </w:rPr>
        <w:tab/>
      </w:r>
      <w:r w:rsidR="00866924">
        <w:rPr>
          <w:rFonts w:ascii="Times New Roman" w:hAnsi="Times New Roman"/>
        </w:rPr>
        <w:t>T</w:t>
      </w:r>
      <w:r w:rsidR="002F514A" w:rsidRPr="002F514A">
        <w:rPr>
          <w:rFonts w:ascii="Times New Roman" w:hAnsi="Times New Roman"/>
        </w:rPr>
        <w:t xml:space="preserve">he Supreme Court </w:t>
      </w:r>
      <w:r w:rsidR="00866924">
        <w:rPr>
          <w:rFonts w:ascii="Times New Roman" w:hAnsi="Times New Roman"/>
        </w:rPr>
        <w:t xml:space="preserve">held </w:t>
      </w:r>
      <w:r w:rsidR="002F514A" w:rsidRPr="00B747C3">
        <w:rPr>
          <w:rFonts w:ascii="Times New Roman" w:hAnsi="Times New Roman"/>
        </w:rPr>
        <w:t>that complainants seeking relief from the Commission must satisfy their burden of proof by a preponderance of the evidence</w:t>
      </w:r>
      <w:r w:rsidR="002F514A" w:rsidRPr="002F514A">
        <w:rPr>
          <w:rFonts w:ascii="Times New Roman" w:hAnsi="Times New Roman"/>
        </w:rPr>
        <w:t>.</w:t>
      </w:r>
      <w:r w:rsidR="002C29A7">
        <w:rPr>
          <w:rStyle w:val="FootnoteReference"/>
          <w:rFonts w:ascii="Times New Roman" w:hAnsi="Times New Roman"/>
        </w:rPr>
        <w:footnoteReference w:id="2"/>
      </w:r>
      <w:r w:rsidR="0006528C">
        <w:rPr>
          <w:rFonts w:ascii="Times New Roman" w:hAnsi="Times New Roman"/>
        </w:rPr>
        <w:t xml:space="preserve">  </w:t>
      </w:r>
      <w:r w:rsidR="004A0D54">
        <w:rPr>
          <w:rFonts w:ascii="Times New Roman" w:hAnsi="Times New Roman"/>
        </w:rPr>
        <w:t xml:space="preserve">See </w:t>
      </w:r>
      <w:r w:rsidR="004A0D54" w:rsidRPr="003660C6">
        <w:rPr>
          <w:rFonts w:ascii="Times New Roman" w:hAnsi="Times New Roman"/>
          <w:i/>
          <w:iCs/>
        </w:rPr>
        <w:t>Povacz II</w:t>
      </w:r>
      <w:r w:rsidR="004A0D54">
        <w:rPr>
          <w:rFonts w:ascii="Times New Roman" w:hAnsi="Times New Roman"/>
        </w:rPr>
        <w:t xml:space="preserve"> at 984.</w:t>
      </w:r>
      <w:r w:rsidR="003660C6">
        <w:rPr>
          <w:rFonts w:ascii="Times New Roman" w:hAnsi="Times New Roman"/>
        </w:rPr>
        <w:t xml:space="preserve">   </w:t>
      </w:r>
      <w:r w:rsidR="0006528C">
        <w:rPr>
          <w:rFonts w:ascii="Times New Roman" w:hAnsi="Times New Roman"/>
        </w:rPr>
        <w:lastRenderedPageBreak/>
        <w:t xml:space="preserve">Further, </w:t>
      </w:r>
      <w:r w:rsidR="00AA04D7" w:rsidRPr="00B747C3">
        <w:rPr>
          <w:rFonts w:ascii="Times New Roman" w:hAnsi="Times New Roman"/>
        </w:rPr>
        <w:t xml:space="preserve">the submission of </w:t>
      </w:r>
      <w:r w:rsidR="0006528C" w:rsidRPr="00B747C3">
        <w:rPr>
          <w:rFonts w:ascii="Times New Roman" w:hAnsi="Times New Roman"/>
        </w:rPr>
        <w:t xml:space="preserve">evidence of a </w:t>
      </w:r>
      <w:r w:rsidR="0006528C" w:rsidRPr="00B747C3">
        <w:rPr>
          <w:rFonts w:ascii="Times New Roman" w:hAnsi="Times New Roman"/>
          <w:i/>
          <w:iCs/>
        </w:rPr>
        <w:t>mere possibility</w:t>
      </w:r>
      <w:r w:rsidR="0006528C" w:rsidRPr="00B747C3">
        <w:rPr>
          <w:rFonts w:ascii="Times New Roman" w:hAnsi="Times New Roman"/>
        </w:rPr>
        <w:t xml:space="preserve"> that harm could result is insufficient to satisfy the preponderance of the evidence standard</w:t>
      </w:r>
      <w:r w:rsidR="0006528C" w:rsidRPr="0006528C">
        <w:rPr>
          <w:rFonts w:ascii="Times New Roman" w:hAnsi="Times New Roman"/>
        </w:rPr>
        <w:t>.</w:t>
      </w:r>
      <w:r w:rsidR="00250017">
        <w:rPr>
          <w:rStyle w:val="FootnoteReference"/>
          <w:rFonts w:ascii="Times New Roman" w:hAnsi="Times New Roman"/>
        </w:rPr>
        <w:footnoteReference w:id="3"/>
      </w:r>
      <w:r w:rsidR="00D623AC">
        <w:rPr>
          <w:rFonts w:ascii="Times New Roman" w:hAnsi="Times New Roman"/>
        </w:rPr>
        <w:t xml:space="preserve">  See </w:t>
      </w:r>
      <w:r w:rsidR="00D623AC" w:rsidRPr="00D623AC">
        <w:rPr>
          <w:rFonts w:ascii="Times New Roman" w:hAnsi="Times New Roman"/>
          <w:i/>
          <w:iCs/>
        </w:rPr>
        <w:t>Povacz II</w:t>
      </w:r>
      <w:r w:rsidR="00D623AC">
        <w:rPr>
          <w:rFonts w:ascii="Times New Roman" w:hAnsi="Times New Roman"/>
        </w:rPr>
        <w:t xml:space="preserve"> at 1005.</w:t>
      </w:r>
    </w:p>
    <w:p w14:paraId="5D982E42" w14:textId="77777777" w:rsidR="004D2C78" w:rsidRDefault="004D2C78" w:rsidP="00D7108A">
      <w:pPr>
        <w:tabs>
          <w:tab w:val="left" w:pos="0"/>
          <w:tab w:val="left" w:pos="1440"/>
        </w:tabs>
        <w:autoSpaceDE/>
        <w:autoSpaceDN/>
        <w:spacing w:line="360" w:lineRule="auto"/>
        <w:rPr>
          <w:rFonts w:ascii="Times New Roman" w:hAnsi="Times New Roman"/>
        </w:rPr>
      </w:pPr>
    </w:p>
    <w:p w14:paraId="7A50D1B5" w14:textId="055CB91E" w:rsidR="004D2C78" w:rsidRDefault="004D2C78" w:rsidP="00243D13">
      <w:pPr>
        <w:tabs>
          <w:tab w:val="left" w:pos="0"/>
          <w:tab w:val="left" w:pos="1440"/>
        </w:tabs>
        <w:autoSpaceDE/>
        <w:autoSpaceDN/>
        <w:spacing w:line="360" w:lineRule="auto"/>
        <w:rPr>
          <w:rFonts w:ascii="Times New Roman" w:hAnsi="Times New Roman"/>
        </w:rPr>
      </w:pPr>
      <w:r>
        <w:rPr>
          <w:rFonts w:ascii="Times New Roman" w:hAnsi="Times New Roman"/>
        </w:rPr>
        <w:tab/>
      </w:r>
      <w:r w:rsidR="000F347B">
        <w:rPr>
          <w:rFonts w:ascii="Times New Roman" w:hAnsi="Times New Roman"/>
        </w:rPr>
        <w:t>T</w:t>
      </w:r>
      <w:r w:rsidR="0086143B" w:rsidRPr="0086143B">
        <w:rPr>
          <w:rFonts w:ascii="Times New Roman" w:hAnsi="Times New Roman"/>
        </w:rPr>
        <w:t xml:space="preserve">he Supreme Court </w:t>
      </w:r>
      <w:r w:rsidR="005A147A">
        <w:rPr>
          <w:rFonts w:ascii="Times New Roman" w:hAnsi="Times New Roman"/>
        </w:rPr>
        <w:t xml:space="preserve">also </w:t>
      </w:r>
      <w:r w:rsidR="0086143B" w:rsidRPr="0086143B">
        <w:rPr>
          <w:rFonts w:ascii="Times New Roman" w:hAnsi="Times New Roman"/>
        </w:rPr>
        <w:t xml:space="preserve">noted that the burden of proof is two-fold for Section 1501 claims involving the safety of </w:t>
      </w:r>
      <w:r w:rsidR="00694D1D">
        <w:rPr>
          <w:rFonts w:ascii="Times New Roman" w:hAnsi="Times New Roman"/>
        </w:rPr>
        <w:t>“</w:t>
      </w:r>
      <w:r w:rsidR="0086143B" w:rsidRPr="0086143B">
        <w:rPr>
          <w:rFonts w:ascii="Times New Roman" w:hAnsi="Times New Roman"/>
        </w:rPr>
        <w:t>smart meters</w:t>
      </w:r>
      <w:r w:rsidR="00694D1D">
        <w:rPr>
          <w:rFonts w:ascii="Times New Roman" w:hAnsi="Times New Roman"/>
        </w:rPr>
        <w:t>”</w:t>
      </w:r>
      <w:r w:rsidR="0086143B" w:rsidRPr="0086143B">
        <w:rPr>
          <w:rFonts w:ascii="Times New Roman" w:hAnsi="Times New Roman"/>
        </w:rPr>
        <w:t xml:space="preserve"> and RF </w:t>
      </w:r>
      <w:r w:rsidR="00694D1D">
        <w:rPr>
          <w:rFonts w:ascii="Times New Roman" w:hAnsi="Times New Roman"/>
        </w:rPr>
        <w:t xml:space="preserve">(radio frequency) </w:t>
      </w:r>
      <w:r w:rsidR="0086143B" w:rsidRPr="0086143B">
        <w:rPr>
          <w:rFonts w:ascii="Times New Roman" w:hAnsi="Times New Roman"/>
        </w:rPr>
        <w:t xml:space="preserve">emissions. </w:t>
      </w:r>
      <w:r w:rsidR="00150E4C">
        <w:rPr>
          <w:rFonts w:ascii="Times New Roman" w:hAnsi="Times New Roman"/>
        </w:rPr>
        <w:t xml:space="preserve"> See </w:t>
      </w:r>
      <w:r w:rsidR="00150E4C" w:rsidRPr="00150E4C">
        <w:rPr>
          <w:rFonts w:ascii="Times New Roman" w:hAnsi="Times New Roman"/>
          <w:i/>
          <w:iCs/>
        </w:rPr>
        <w:t>Povacz II</w:t>
      </w:r>
      <w:r w:rsidR="00150E4C">
        <w:rPr>
          <w:rFonts w:ascii="Times New Roman" w:hAnsi="Times New Roman"/>
        </w:rPr>
        <w:t xml:space="preserve"> at 1012.  </w:t>
      </w:r>
      <w:r w:rsidR="0086143B" w:rsidRPr="00FC5B11">
        <w:rPr>
          <w:rFonts w:ascii="Times New Roman" w:hAnsi="Times New Roman"/>
        </w:rPr>
        <w:t xml:space="preserve">First, a customer must present expert opinion rendered to a reasonable degree of scientific certainty that radio frequency emissions from </w:t>
      </w:r>
      <w:r w:rsidR="00DF00F0" w:rsidRPr="00FC5B11">
        <w:rPr>
          <w:rFonts w:ascii="Times New Roman" w:hAnsi="Times New Roman"/>
        </w:rPr>
        <w:t>“</w:t>
      </w:r>
      <w:r w:rsidR="0086143B" w:rsidRPr="00FC5B11">
        <w:rPr>
          <w:rFonts w:ascii="Times New Roman" w:hAnsi="Times New Roman"/>
        </w:rPr>
        <w:t>smart meters</w:t>
      </w:r>
      <w:r w:rsidR="00DF00F0" w:rsidRPr="00FC5B11">
        <w:rPr>
          <w:rFonts w:ascii="Times New Roman" w:hAnsi="Times New Roman"/>
        </w:rPr>
        <w:t>”</w:t>
      </w:r>
      <w:r w:rsidR="0086143B" w:rsidRPr="00FC5B11">
        <w:rPr>
          <w:rFonts w:ascii="Times New Roman" w:hAnsi="Times New Roman"/>
        </w:rPr>
        <w:t xml:space="preserve"> cause adverse health effects. </w:t>
      </w:r>
      <w:r w:rsidR="00694D1D" w:rsidRPr="00FC5B11">
        <w:rPr>
          <w:rFonts w:ascii="Times New Roman" w:hAnsi="Times New Roman"/>
        </w:rPr>
        <w:t xml:space="preserve"> </w:t>
      </w:r>
      <w:r w:rsidR="0086143B" w:rsidRPr="00FC5B11">
        <w:rPr>
          <w:rFonts w:ascii="Times New Roman" w:hAnsi="Times New Roman"/>
        </w:rPr>
        <w:t xml:space="preserve">Next, a customer must present expert opinion rendered to a reasonable degree of medical certainty that RF emissions from </w:t>
      </w:r>
      <w:r w:rsidR="00891B31" w:rsidRPr="00FC5B11">
        <w:rPr>
          <w:rFonts w:ascii="Times New Roman" w:hAnsi="Times New Roman"/>
        </w:rPr>
        <w:t>“</w:t>
      </w:r>
      <w:r w:rsidR="0086143B" w:rsidRPr="00FC5B11">
        <w:rPr>
          <w:rFonts w:ascii="Times New Roman" w:hAnsi="Times New Roman"/>
        </w:rPr>
        <w:t>smart meters,</w:t>
      </w:r>
      <w:r w:rsidR="00891B31" w:rsidRPr="00FC5B11">
        <w:rPr>
          <w:rFonts w:ascii="Times New Roman" w:hAnsi="Times New Roman"/>
        </w:rPr>
        <w:t>”</w:t>
      </w:r>
      <w:r w:rsidR="0086143B" w:rsidRPr="00FC5B11">
        <w:rPr>
          <w:rFonts w:ascii="Times New Roman" w:hAnsi="Times New Roman"/>
        </w:rPr>
        <w:t xml:space="preserve"> either alone or cumulative to other sources of RF emissions, caused them harm.</w:t>
      </w:r>
      <w:r w:rsidR="00891B31" w:rsidRPr="00FC5B11">
        <w:rPr>
          <w:rFonts w:ascii="Times New Roman" w:hAnsi="Times New Roman"/>
        </w:rPr>
        <w:t xml:space="preserve"> </w:t>
      </w:r>
      <w:r w:rsidR="0086143B" w:rsidRPr="00FC5B11">
        <w:rPr>
          <w:rFonts w:ascii="Times New Roman" w:hAnsi="Times New Roman"/>
        </w:rPr>
        <w:t xml:space="preserve"> The utility may then refute the customer’s evidence by providing scientific and/or medical expert testimony that, within a reasonable degree of certainty, the RF emissions from </w:t>
      </w:r>
      <w:r w:rsidR="00891B31" w:rsidRPr="00FC5B11">
        <w:rPr>
          <w:rFonts w:ascii="Times New Roman" w:hAnsi="Times New Roman"/>
        </w:rPr>
        <w:t>“</w:t>
      </w:r>
      <w:r w:rsidR="0086143B" w:rsidRPr="00FC5B11">
        <w:rPr>
          <w:rFonts w:ascii="Times New Roman" w:hAnsi="Times New Roman"/>
        </w:rPr>
        <w:t>smart meters</w:t>
      </w:r>
      <w:r w:rsidR="00891B31" w:rsidRPr="00FC5B11">
        <w:rPr>
          <w:rFonts w:ascii="Times New Roman" w:hAnsi="Times New Roman"/>
        </w:rPr>
        <w:t>”</w:t>
      </w:r>
      <w:r w:rsidR="0086143B" w:rsidRPr="00FC5B11">
        <w:rPr>
          <w:rFonts w:ascii="Times New Roman" w:hAnsi="Times New Roman"/>
        </w:rPr>
        <w:t xml:space="preserve"> did not cause the alleged harm.</w:t>
      </w:r>
      <w:r w:rsidR="002B1112">
        <w:rPr>
          <w:rStyle w:val="FootnoteReference"/>
          <w:rFonts w:ascii="Times New Roman" w:hAnsi="Times New Roman"/>
        </w:rPr>
        <w:footnoteReference w:id="4"/>
      </w:r>
      <w:r w:rsidR="0086143B" w:rsidRPr="0086143B">
        <w:rPr>
          <w:rFonts w:ascii="Times New Roman" w:hAnsi="Times New Roman"/>
        </w:rPr>
        <w:t xml:space="preserve"> </w:t>
      </w:r>
      <w:r w:rsidR="000F347B">
        <w:rPr>
          <w:rFonts w:ascii="Times New Roman" w:hAnsi="Times New Roman"/>
        </w:rPr>
        <w:t xml:space="preserve"> </w:t>
      </w:r>
      <w:r w:rsidR="0086143B" w:rsidRPr="0086143B">
        <w:rPr>
          <w:rFonts w:ascii="Times New Roman" w:hAnsi="Times New Roman"/>
        </w:rPr>
        <w:t xml:space="preserve">Once the parties have presented their evidence, the onus then falls on the fact finder to weigh the evidence and determine whether it is more likely than not that the </w:t>
      </w:r>
      <w:r w:rsidR="00891B31">
        <w:rPr>
          <w:rFonts w:ascii="Times New Roman" w:hAnsi="Times New Roman"/>
        </w:rPr>
        <w:t>“</w:t>
      </w:r>
      <w:r w:rsidR="0086143B" w:rsidRPr="0086143B">
        <w:rPr>
          <w:rFonts w:ascii="Times New Roman" w:hAnsi="Times New Roman"/>
        </w:rPr>
        <w:t>smart meter</w:t>
      </w:r>
      <w:r w:rsidR="00891B31">
        <w:rPr>
          <w:rFonts w:ascii="Times New Roman" w:hAnsi="Times New Roman"/>
        </w:rPr>
        <w:t>”</w:t>
      </w:r>
      <w:r w:rsidR="0086143B" w:rsidRPr="0086143B">
        <w:rPr>
          <w:rFonts w:ascii="Times New Roman" w:hAnsi="Times New Roman"/>
        </w:rPr>
        <w:t xml:space="preserve"> caused the customer harm.</w:t>
      </w:r>
      <w:r w:rsidR="00243D13">
        <w:rPr>
          <w:rFonts w:ascii="Times New Roman" w:hAnsi="Times New Roman"/>
        </w:rPr>
        <w:t xml:space="preserve">  </w:t>
      </w:r>
      <w:r w:rsidR="00243D13" w:rsidRPr="00FC5B11">
        <w:rPr>
          <w:rFonts w:ascii="Times New Roman" w:hAnsi="Times New Roman"/>
        </w:rPr>
        <w:t xml:space="preserve">The Supreme Court concluded that neither fear nor inconclusive scientific research was sufficient to prove that </w:t>
      </w:r>
      <w:r w:rsidR="003A4B29" w:rsidRPr="00FC5B11">
        <w:rPr>
          <w:rFonts w:ascii="Times New Roman" w:hAnsi="Times New Roman"/>
        </w:rPr>
        <w:t>“</w:t>
      </w:r>
      <w:r w:rsidR="00243D13" w:rsidRPr="00FC5B11">
        <w:rPr>
          <w:rFonts w:ascii="Times New Roman" w:hAnsi="Times New Roman"/>
        </w:rPr>
        <w:t>smart meter</w:t>
      </w:r>
      <w:r w:rsidR="003A4B29" w:rsidRPr="00FC5B11">
        <w:rPr>
          <w:rFonts w:ascii="Times New Roman" w:hAnsi="Times New Roman"/>
        </w:rPr>
        <w:t>”</w:t>
      </w:r>
      <w:r w:rsidR="00243D13" w:rsidRPr="00FC5B11">
        <w:rPr>
          <w:rFonts w:ascii="Times New Roman" w:hAnsi="Times New Roman"/>
        </w:rPr>
        <w:t xml:space="preserve"> technology constitutes unsafe service</w:t>
      </w:r>
      <w:r w:rsidR="00243D13" w:rsidRPr="00243D13">
        <w:rPr>
          <w:rFonts w:ascii="Times New Roman" w:hAnsi="Times New Roman"/>
        </w:rPr>
        <w:t xml:space="preserve"> under Section 1501.</w:t>
      </w:r>
    </w:p>
    <w:p w14:paraId="46FF4283" w14:textId="77777777" w:rsidR="00D81630" w:rsidRDefault="00D81630" w:rsidP="00243D13">
      <w:pPr>
        <w:tabs>
          <w:tab w:val="left" w:pos="0"/>
          <w:tab w:val="left" w:pos="1440"/>
        </w:tabs>
        <w:autoSpaceDE/>
        <w:autoSpaceDN/>
        <w:spacing w:line="360" w:lineRule="auto"/>
        <w:rPr>
          <w:rFonts w:ascii="Times New Roman" w:hAnsi="Times New Roman"/>
        </w:rPr>
      </w:pPr>
    </w:p>
    <w:p w14:paraId="7943CD25" w14:textId="77777777" w:rsidR="00D81630" w:rsidRPr="00FC5B11" w:rsidRDefault="00D81630" w:rsidP="00D81630">
      <w:pPr>
        <w:tabs>
          <w:tab w:val="left" w:pos="0"/>
          <w:tab w:val="left" w:pos="1440"/>
        </w:tabs>
        <w:autoSpaceDE/>
        <w:autoSpaceDN/>
        <w:spacing w:line="360" w:lineRule="auto"/>
        <w:rPr>
          <w:rFonts w:ascii="Times New Roman" w:hAnsi="Times New Roman"/>
        </w:rPr>
      </w:pPr>
      <w:r>
        <w:rPr>
          <w:rFonts w:ascii="Times New Roman" w:hAnsi="Times New Roman"/>
        </w:rPr>
        <w:tab/>
      </w:r>
      <w:r w:rsidRPr="00FC5B11">
        <w:rPr>
          <w:rFonts w:ascii="Times New Roman" w:hAnsi="Times New Roman"/>
        </w:rPr>
        <w:t xml:space="preserve">The Supreme Court held that if a customer establishes by a preponderance of the </w:t>
      </w:r>
    </w:p>
    <w:p w14:paraId="362BC756" w14:textId="75071D69" w:rsidR="00D81630" w:rsidRDefault="00D81630" w:rsidP="005D2862">
      <w:pPr>
        <w:tabs>
          <w:tab w:val="left" w:pos="0"/>
          <w:tab w:val="left" w:pos="1440"/>
        </w:tabs>
        <w:autoSpaceDE/>
        <w:autoSpaceDN/>
        <w:spacing w:line="360" w:lineRule="auto"/>
        <w:rPr>
          <w:rFonts w:ascii="Times New Roman" w:hAnsi="Times New Roman"/>
        </w:rPr>
      </w:pPr>
      <w:r w:rsidRPr="00FC5B11">
        <w:rPr>
          <w:rFonts w:ascii="Times New Roman" w:hAnsi="Times New Roman"/>
        </w:rPr>
        <w:t xml:space="preserve">evidence, based on the totality of the circumstances, that </w:t>
      </w:r>
      <w:r w:rsidR="003A4B29" w:rsidRPr="00FC5B11">
        <w:rPr>
          <w:rFonts w:ascii="Times New Roman" w:hAnsi="Times New Roman"/>
        </w:rPr>
        <w:t>“</w:t>
      </w:r>
      <w:r w:rsidRPr="00FC5B11">
        <w:rPr>
          <w:rFonts w:ascii="Times New Roman" w:hAnsi="Times New Roman"/>
        </w:rPr>
        <w:t>smart meter</w:t>
      </w:r>
      <w:r w:rsidR="003A37C0" w:rsidRPr="00FC5B11">
        <w:rPr>
          <w:rFonts w:ascii="Times New Roman" w:hAnsi="Times New Roman"/>
        </w:rPr>
        <w:t>”</w:t>
      </w:r>
      <w:r w:rsidRPr="00FC5B11">
        <w:rPr>
          <w:rFonts w:ascii="Times New Roman" w:hAnsi="Times New Roman"/>
        </w:rPr>
        <w:t xml:space="preserve"> service violates Section 1501, they are entitled to an accommodation to the extent allowed by Act 129</w:t>
      </w:r>
      <w:r w:rsidR="005D2862" w:rsidRPr="00FC5B11">
        <w:rPr>
          <w:rFonts w:ascii="Times New Roman" w:hAnsi="Times New Roman"/>
        </w:rPr>
        <w:t xml:space="preserve"> and a utility’s tariff.  However, given that Act 129 mandates </w:t>
      </w:r>
      <w:r w:rsidR="003A37C0" w:rsidRPr="00FC5B11">
        <w:rPr>
          <w:rFonts w:ascii="Times New Roman" w:hAnsi="Times New Roman"/>
        </w:rPr>
        <w:t>“</w:t>
      </w:r>
      <w:r w:rsidR="005D2862" w:rsidRPr="00FC5B11">
        <w:rPr>
          <w:rFonts w:ascii="Times New Roman" w:hAnsi="Times New Roman"/>
        </w:rPr>
        <w:t>smart meter</w:t>
      </w:r>
      <w:r w:rsidR="003A37C0" w:rsidRPr="00FC5B11">
        <w:rPr>
          <w:rFonts w:ascii="Times New Roman" w:hAnsi="Times New Roman"/>
        </w:rPr>
        <w:t>”</w:t>
      </w:r>
      <w:r w:rsidR="005D2862" w:rsidRPr="00FC5B11">
        <w:rPr>
          <w:rFonts w:ascii="Times New Roman" w:hAnsi="Times New Roman"/>
        </w:rPr>
        <w:t xml:space="preserve"> deployment, the Supreme Court clarified that such accommodation may not rise to the level of an opt-out from </w:t>
      </w:r>
      <w:r w:rsidR="003A37C0" w:rsidRPr="00FC5B11">
        <w:rPr>
          <w:rFonts w:ascii="Times New Roman" w:hAnsi="Times New Roman"/>
        </w:rPr>
        <w:t>“</w:t>
      </w:r>
      <w:r w:rsidR="005D2862" w:rsidRPr="00FC5B11">
        <w:rPr>
          <w:rFonts w:ascii="Times New Roman" w:hAnsi="Times New Roman"/>
        </w:rPr>
        <w:t>smart meter</w:t>
      </w:r>
      <w:r w:rsidR="003A37C0" w:rsidRPr="00FC5B11">
        <w:rPr>
          <w:rFonts w:ascii="Times New Roman" w:hAnsi="Times New Roman"/>
        </w:rPr>
        <w:t>”</w:t>
      </w:r>
      <w:r w:rsidR="005D2862" w:rsidRPr="00FC5B11">
        <w:rPr>
          <w:rFonts w:ascii="Times New Roman" w:hAnsi="Times New Roman"/>
        </w:rPr>
        <w:t xml:space="preserve"> installation</w:t>
      </w:r>
      <w:r w:rsidR="005D2862" w:rsidRPr="005D2862">
        <w:rPr>
          <w:rFonts w:ascii="Times New Roman" w:hAnsi="Times New Roman"/>
        </w:rPr>
        <w:t>.</w:t>
      </w:r>
      <w:r w:rsidR="00556926">
        <w:rPr>
          <w:rFonts w:ascii="Times New Roman" w:hAnsi="Times New Roman"/>
        </w:rPr>
        <w:t xml:space="preserve">  See </w:t>
      </w:r>
      <w:r w:rsidR="00556926" w:rsidRPr="00556926">
        <w:rPr>
          <w:rFonts w:ascii="Times New Roman" w:hAnsi="Times New Roman"/>
          <w:i/>
          <w:iCs/>
        </w:rPr>
        <w:t>Povacz II</w:t>
      </w:r>
      <w:r w:rsidR="00556926">
        <w:rPr>
          <w:rFonts w:ascii="Times New Roman" w:hAnsi="Times New Roman"/>
        </w:rPr>
        <w:t xml:space="preserve"> at 1014.</w:t>
      </w:r>
    </w:p>
    <w:p w14:paraId="147CA5EA" w14:textId="77777777" w:rsidR="00190E46" w:rsidRDefault="00190E46" w:rsidP="005D2862">
      <w:pPr>
        <w:tabs>
          <w:tab w:val="left" w:pos="0"/>
          <w:tab w:val="left" w:pos="1440"/>
        </w:tabs>
        <w:autoSpaceDE/>
        <w:autoSpaceDN/>
        <w:spacing w:line="360" w:lineRule="auto"/>
        <w:rPr>
          <w:rFonts w:ascii="Times New Roman" w:hAnsi="Times New Roman"/>
        </w:rPr>
      </w:pPr>
    </w:p>
    <w:p w14:paraId="5D895E20" w14:textId="5FAB657D" w:rsidR="00B17F9B" w:rsidRDefault="00527123" w:rsidP="00B17F9B">
      <w:pPr>
        <w:tabs>
          <w:tab w:val="left" w:pos="0"/>
        </w:tabs>
        <w:autoSpaceDE/>
        <w:autoSpaceDN/>
        <w:spacing w:line="360" w:lineRule="auto"/>
        <w:rPr>
          <w:rFonts w:ascii="Times New Roman" w:hAnsi="Times New Roman"/>
        </w:rPr>
      </w:pPr>
      <w:r>
        <w:rPr>
          <w:rFonts w:ascii="Times New Roman" w:hAnsi="Times New Roman"/>
        </w:rPr>
        <w:lastRenderedPageBreak/>
        <w:tab/>
      </w:r>
      <w:r>
        <w:rPr>
          <w:rFonts w:ascii="Times New Roman" w:hAnsi="Times New Roman"/>
        </w:rPr>
        <w:tab/>
      </w:r>
      <w:r w:rsidR="009F7A98">
        <w:rPr>
          <w:rFonts w:ascii="Times New Roman" w:hAnsi="Times New Roman"/>
        </w:rPr>
        <w:t xml:space="preserve">While no </w:t>
      </w:r>
      <w:r w:rsidR="0072607D">
        <w:rPr>
          <w:rFonts w:ascii="Times New Roman" w:hAnsi="Times New Roman"/>
        </w:rPr>
        <w:t xml:space="preserve">procedural </w:t>
      </w:r>
      <w:r w:rsidR="001A1E9E">
        <w:rPr>
          <w:rFonts w:ascii="Times New Roman" w:hAnsi="Times New Roman"/>
        </w:rPr>
        <w:t xml:space="preserve">matters were disposed of at the prehearing conference save to </w:t>
      </w:r>
      <w:r w:rsidR="00C06FEB">
        <w:rPr>
          <w:rFonts w:ascii="Times New Roman" w:hAnsi="Times New Roman"/>
        </w:rPr>
        <w:t xml:space="preserve">announce that an evidentiary hearing would be scheduled, Complainant waived the opportunity </w:t>
      </w:r>
      <w:r w:rsidR="00EF2F06">
        <w:rPr>
          <w:rFonts w:ascii="Times New Roman" w:hAnsi="Times New Roman"/>
        </w:rPr>
        <w:t xml:space="preserve">to participate in that </w:t>
      </w:r>
      <w:r w:rsidR="00182567">
        <w:rPr>
          <w:rFonts w:ascii="Times New Roman" w:hAnsi="Times New Roman"/>
        </w:rPr>
        <w:t>pre</w:t>
      </w:r>
      <w:r w:rsidR="00EF2F06">
        <w:rPr>
          <w:rFonts w:ascii="Times New Roman" w:hAnsi="Times New Roman"/>
        </w:rPr>
        <w:t xml:space="preserve">hearing </w:t>
      </w:r>
      <w:r w:rsidR="00182567">
        <w:rPr>
          <w:rFonts w:ascii="Times New Roman" w:hAnsi="Times New Roman"/>
        </w:rPr>
        <w:t xml:space="preserve">conference </w:t>
      </w:r>
      <w:r w:rsidR="00EF2F06">
        <w:rPr>
          <w:rFonts w:ascii="Times New Roman" w:hAnsi="Times New Roman"/>
        </w:rPr>
        <w:t xml:space="preserve">by his non-appearance.  </w:t>
      </w:r>
      <w:bookmarkStart w:id="5" w:name="_Hlk161897741"/>
      <w:r w:rsidR="00EF2F06">
        <w:rPr>
          <w:rFonts w:ascii="Times New Roman" w:hAnsi="Times New Roman"/>
        </w:rPr>
        <w:t xml:space="preserve">See 52 Pa. Code </w:t>
      </w:r>
      <w:r w:rsidR="00EF2F06" w:rsidRPr="00EF2F06">
        <w:rPr>
          <w:rFonts w:ascii="Times New Roman" w:hAnsi="Times New Roman"/>
        </w:rPr>
        <w:t>§ 5.245</w:t>
      </w:r>
      <w:r w:rsidR="00EF2F06">
        <w:rPr>
          <w:rFonts w:ascii="Times New Roman" w:hAnsi="Times New Roman"/>
        </w:rPr>
        <w:t>(a)</w:t>
      </w:r>
      <w:bookmarkEnd w:id="5"/>
      <w:r w:rsidR="00EF2F06">
        <w:rPr>
          <w:rFonts w:ascii="Times New Roman" w:hAnsi="Times New Roman"/>
        </w:rPr>
        <w:t>(1)</w:t>
      </w:r>
      <w:r w:rsidR="00182567">
        <w:rPr>
          <w:rFonts w:ascii="Times New Roman" w:hAnsi="Times New Roman"/>
        </w:rPr>
        <w:t>.</w:t>
      </w:r>
    </w:p>
    <w:p w14:paraId="0A97D0D0" w14:textId="77777777" w:rsidR="004941F7" w:rsidRDefault="004941F7" w:rsidP="00B17F9B">
      <w:pPr>
        <w:tabs>
          <w:tab w:val="left" w:pos="0"/>
        </w:tabs>
        <w:autoSpaceDE/>
        <w:autoSpaceDN/>
        <w:spacing w:line="360" w:lineRule="auto"/>
        <w:rPr>
          <w:rFonts w:ascii="Times New Roman" w:hAnsi="Times New Roman"/>
        </w:rPr>
      </w:pPr>
    </w:p>
    <w:p w14:paraId="215BF813" w14:textId="45958619" w:rsidR="004941F7" w:rsidRDefault="004941F7" w:rsidP="00B17F9B">
      <w:pPr>
        <w:tabs>
          <w:tab w:val="left" w:pos="0"/>
        </w:tabs>
        <w:autoSpaceDE/>
        <w:autoSpaceDN/>
        <w:spacing w:line="360" w:lineRule="auto"/>
        <w:rPr>
          <w:rFonts w:ascii="Times New Roman" w:hAnsi="Times New Roman"/>
        </w:rPr>
      </w:pPr>
      <w:r>
        <w:rPr>
          <w:rFonts w:ascii="Times New Roman" w:hAnsi="Times New Roman"/>
        </w:rPr>
        <w:tab/>
      </w:r>
      <w:r>
        <w:rPr>
          <w:rFonts w:ascii="Times New Roman" w:hAnsi="Times New Roman"/>
        </w:rPr>
        <w:tab/>
        <w:t xml:space="preserve">In sum, </w:t>
      </w:r>
      <w:r w:rsidR="008F3A85">
        <w:rPr>
          <w:rFonts w:ascii="Times New Roman" w:hAnsi="Times New Roman"/>
        </w:rPr>
        <w:t xml:space="preserve">given the decision in </w:t>
      </w:r>
      <w:r w:rsidR="008F3A85" w:rsidRPr="008F3A85">
        <w:rPr>
          <w:rFonts w:ascii="Times New Roman" w:hAnsi="Times New Roman"/>
          <w:i/>
          <w:iCs/>
        </w:rPr>
        <w:t>Povacz II</w:t>
      </w:r>
      <w:r w:rsidR="008F3A85">
        <w:rPr>
          <w:rFonts w:ascii="Times New Roman" w:hAnsi="Times New Roman"/>
        </w:rPr>
        <w:t xml:space="preserve">, this case </w:t>
      </w:r>
      <w:r w:rsidR="00E24DD4">
        <w:rPr>
          <w:rFonts w:ascii="Times New Roman" w:hAnsi="Times New Roman"/>
        </w:rPr>
        <w:t>will proceed to litigation.</w:t>
      </w:r>
      <w:r w:rsidR="008E64E2">
        <w:rPr>
          <w:rFonts w:ascii="Times New Roman" w:hAnsi="Times New Roman"/>
        </w:rPr>
        <w:t xml:space="preserve">  Additional prehearing conferences may be requested </w:t>
      </w:r>
      <w:r w:rsidR="00831F7A">
        <w:rPr>
          <w:rFonts w:ascii="Times New Roman" w:hAnsi="Times New Roman"/>
        </w:rPr>
        <w:t>by a party or by the parties jointly if needed.</w:t>
      </w:r>
    </w:p>
    <w:p w14:paraId="7E901AA6" w14:textId="77777777" w:rsidR="00B007FD" w:rsidRDefault="00B007FD" w:rsidP="00B17F9B">
      <w:pPr>
        <w:tabs>
          <w:tab w:val="left" w:pos="0"/>
        </w:tabs>
        <w:autoSpaceDE/>
        <w:autoSpaceDN/>
        <w:spacing w:line="360" w:lineRule="auto"/>
        <w:rPr>
          <w:rFonts w:ascii="Times New Roman" w:hAnsi="Times New Roman"/>
        </w:rPr>
      </w:pPr>
    </w:p>
    <w:p w14:paraId="1A598E71" w14:textId="79D19F96" w:rsidR="006749DF" w:rsidRDefault="00EF2844"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sidR="00AC44A3">
        <w:rPr>
          <w:rFonts w:ascii="Times New Roman" w:eastAsia="Calibri" w:hAnsi="Times New Roman" w:cs="Times New Roman"/>
        </w:rPr>
        <w:tab/>
        <w:t>THEREFORE,</w:t>
      </w:r>
    </w:p>
    <w:p w14:paraId="428779C6" w14:textId="77777777" w:rsidR="00AC44A3" w:rsidRDefault="00AC44A3" w:rsidP="00B632E1">
      <w:pPr>
        <w:tabs>
          <w:tab w:val="left" w:pos="0"/>
        </w:tabs>
        <w:autoSpaceDE/>
        <w:autoSpaceDN/>
        <w:spacing w:line="360" w:lineRule="auto"/>
        <w:rPr>
          <w:rFonts w:ascii="Times New Roman" w:eastAsia="Calibri" w:hAnsi="Times New Roman" w:cs="Times New Roman"/>
        </w:rPr>
      </w:pPr>
    </w:p>
    <w:p w14:paraId="53804D0B" w14:textId="0AC6DCF1" w:rsidR="00AC44A3" w:rsidRDefault="00AC44A3" w:rsidP="00B632E1">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IT IS ORDERED:</w:t>
      </w:r>
    </w:p>
    <w:p w14:paraId="2769AFAE" w14:textId="77777777" w:rsidR="00AC44A3" w:rsidRDefault="00AC44A3" w:rsidP="00B632E1">
      <w:pPr>
        <w:tabs>
          <w:tab w:val="left" w:pos="0"/>
        </w:tabs>
        <w:autoSpaceDE/>
        <w:autoSpaceDN/>
        <w:spacing w:line="360" w:lineRule="auto"/>
        <w:rPr>
          <w:rFonts w:ascii="Times New Roman" w:eastAsia="Calibri" w:hAnsi="Times New Roman" w:cs="Times New Roman"/>
        </w:rPr>
      </w:pPr>
    </w:p>
    <w:p w14:paraId="72800A34" w14:textId="6B08EEA8" w:rsidR="00D76D40" w:rsidRDefault="00AC44A3" w:rsidP="00751DBE">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1.</w:t>
      </w:r>
      <w:r>
        <w:rPr>
          <w:rFonts w:ascii="Times New Roman" w:eastAsia="Calibri" w:hAnsi="Times New Roman" w:cs="Times New Roman"/>
        </w:rPr>
        <w:tab/>
      </w:r>
      <w:r w:rsidR="00B83816">
        <w:rPr>
          <w:rFonts w:ascii="Times New Roman" w:eastAsia="Calibri" w:hAnsi="Times New Roman" w:cs="Times New Roman"/>
        </w:rPr>
        <w:t>That the Prelim</w:t>
      </w:r>
      <w:r w:rsidR="00B755FF">
        <w:rPr>
          <w:rFonts w:ascii="Times New Roman" w:eastAsia="Calibri" w:hAnsi="Times New Roman" w:cs="Times New Roman"/>
        </w:rPr>
        <w:t>inary Objections filed at this docket by Metropolitan Edison Company on August 16, 2019, are denied as moot.</w:t>
      </w:r>
    </w:p>
    <w:p w14:paraId="710839BC" w14:textId="77777777" w:rsidR="0080389D" w:rsidRDefault="0080389D" w:rsidP="00751DBE">
      <w:pPr>
        <w:tabs>
          <w:tab w:val="left" w:pos="0"/>
        </w:tabs>
        <w:autoSpaceDE/>
        <w:autoSpaceDN/>
        <w:spacing w:line="360" w:lineRule="auto"/>
        <w:rPr>
          <w:rFonts w:ascii="Times New Roman" w:eastAsia="Calibri" w:hAnsi="Times New Roman" w:cs="Times New Roman"/>
        </w:rPr>
      </w:pPr>
    </w:p>
    <w:p w14:paraId="6ACE23C9" w14:textId="2E147CE5" w:rsidR="0080389D" w:rsidRDefault="0080389D" w:rsidP="00751DBE">
      <w:pPr>
        <w:tabs>
          <w:tab w:val="left" w:pos="0"/>
        </w:tabs>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2.</w:t>
      </w:r>
      <w:r>
        <w:rPr>
          <w:rFonts w:ascii="Times New Roman" w:eastAsia="Calibri" w:hAnsi="Times New Roman" w:cs="Times New Roman"/>
        </w:rPr>
        <w:tab/>
        <w:t xml:space="preserve">That an evidentiary hearing in this matter will be scheduled </w:t>
      </w:r>
      <w:r w:rsidR="0008222D">
        <w:rPr>
          <w:rFonts w:ascii="Times New Roman" w:eastAsia="Calibri" w:hAnsi="Times New Roman" w:cs="Times New Roman"/>
        </w:rPr>
        <w:t xml:space="preserve">as required by and based on the rulings set forth in </w:t>
      </w:r>
      <w:r w:rsidR="0008222D" w:rsidRPr="0008222D">
        <w:rPr>
          <w:rFonts w:ascii="Times New Roman" w:eastAsia="Calibri" w:hAnsi="Times New Roman" w:cs="Times New Roman"/>
          <w:i/>
          <w:iCs/>
        </w:rPr>
        <w:t>Povacz, et al. v. Pa. Public Utility Commission</w:t>
      </w:r>
      <w:r w:rsidR="0008222D" w:rsidRPr="0008222D">
        <w:rPr>
          <w:rFonts w:ascii="Times New Roman" w:eastAsia="Calibri" w:hAnsi="Times New Roman" w:cs="Times New Roman"/>
        </w:rPr>
        <w:t>, 280 A.3d 975 (Pa. 2022) (</w:t>
      </w:r>
      <w:r w:rsidR="0008222D" w:rsidRPr="0008222D">
        <w:rPr>
          <w:rFonts w:ascii="Times New Roman" w:eastAsia="Calibri" w:hAnsi="Times New Roman" w:cs="Times New Roman"/>
          <w:i/>
          <w:iCs/>
        </w:rPr>
        <w:t>Povacz II</w:t>
      </w:r>
      <w:r w:rsidR="0008222D" w:rsidRPr="0008222D">
        <w:rPr>
          <w:rFonts w:ascii="Times New Roman" w:eastAsia="Calibri" w:hAnsi="Times New Roman" w:cs="Times New Roman"/>
        </w:rPr>
        <w:t>)</w:t>
      </w:r>
      <w:r w:rsidR="009A607A">
        <w:rPr>
          <w:rFonts w:ascii="Times New Roman" w:eastAsia="Calibri" w:hAnsi="Times New Roman" w:cs="Times New Roman"/>
        </w:rPr>
        <w:t xml:space="preserve"> and the Commission’s Order </w:t>
      </w:r>
      <w:r w:rsidR="00103C07">
        <w:rPr>
          <w:rFonts w:ascii="Times New Roman" w:eastAsia="Calibri" w:hAnsi="Times New Roman" w:cs="Times New Roman"/>
        </w:rPr>
        <w:t>in</w:t>
      </w:r>
      <w:r w:rsidR="009A607A">
        <w:rPr>
          <w:rFonts w:ascii="Times New Roman" w:eastAsia="Calibri" w:hAnsi="Times New Roman" w:cs="Times New Roman"/>
        </w:rPr>
        <w:t xml:space="preserve"> </w:t>
      </w:r>
      <w:r w:rsidR="009A607A" w:rsidRPr="009A607A">
        <w:rPr>
          <w:rFonts w:ascii="Times New Roman" w:eastAsia="Calibri" w:hAnsi="Times New Roman" w:cs="Times New Roman"/>
          <w:i/>
          <w:iCs/>
        </w:rPr>
        <w:t>Smart Meter Procurement and Installation</w:t>
      </w:r>
      <w:r w:rsidR="009A607A" w:rsidRPr="009A607A">
        <w:rPr>
          <w:rFonts w:ascii="Times New Roman" w:eastAsia="Calibri" w:hAnsi="Times New Roman" w:cs="Times New Roman"/>
        </w:rPr>
        <w:t>, Docket No. M-2009-2092655</w:t>
      </w:r>
      <w:r w:rsidR="00103C07">
        <w:rPr>
          <w:rFonts w:ascii="Times New Roman" w:eastAsia="Calibri" w:hAnsi="Times New Roman" w:cs="Times New Roman"/>
        </w:rPr>
        <w:t xml:space="preserve"> (Order entered November 14, 2023).</w:t>
      </w:r>
    </w:p>
    <w:p w14:paraId="0CC8DD08" w14:textId="77777777" w:rsidR="003F24C4" w:rsidRDefault="003F24C4" w:rsidP="00751DBE">
      <w:pPr>
        <w:tabs>
          <w:tab w:val="left" w:pos="0"/>
        </w:tabs>
        <w:autoSpaceDE/>
        <w:autoSpaceDN/>
        <w:spacing w:line="360" w:lineRule="auto"/>
        <w:rPr>
          <w:rFonts w:ascii="Times New Roman" w:eastAsia="Calibri" w:hAnsi="Times New Roman" w:cs="Times New Roman"/>
        </w:rPr>
      </w:pPr>
    </w:p>
    <w:p w14:paraId="3E3AD949"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72AE95C4" w14:textId="491143F6"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3E2008">
        <w:rPr>
          <w:rFonts w:ascii="Times New Roman" w:hAnsi="Times New Roman" w:cs="Times New Roman"/>
          <w:spacing w:val="-3"/>
          <w:u w:val="single"/>
        </w:rPr>
        <w:t>March 2</w:t>
      </w:r>
      <w:r w:rsidR="009C427C">
        <w:rPr>
          <w:rFonts w:ascii="Times New Roman" w:hAnsi="Times New Roman" w:cs="Times New Roman"/>
          <w:spacing w:val="-3"/>
          <w:u w:val="single"/>
        </w:rPr>
        <w:t>1</w:t>
      </w:r>
      <w:r w:rsidR="00D76D40">
        <w:rPr>
          <w:rFonts w:ascii="Times New Roman" w:hAnsi="Times New Roman" w:cs="Times New Roman"/>
          <w:spacing w:val="-3"/>
          <w:u w:val="single"/>
        </w:rPr>
        <w:t>, 2024</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________________________</w:t>
      </w:r>
    </w:p>
    <w:p w14:paraId="2EB46EA6"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0A8B4B6F" w14:textId="77777777" w:rsidR="007532AF" w:rsidRDefault="008E3487" w:rsidP="008E3487">
      <w:pPr>
        <w:tabs>
          <w:tab w:val="left" w:pos="720"/>
          <w:tab w:val="left" w:pos="5040"/>
        </w:tabs>
        <w:suppressAutoHyphens/>
        <w:rPr>
          <w:rFonts w:ascii="Times New Roman" w:hAnsi="Times New Roman"/>
        </w:rPr>
        <w:sectPr w:rsidR="007532AF" w:rsidSect="007532AF">
          <w:footerReference w:type="default" r:id="rId8"/>
          <w:pgSz w:w="12240" w:h="15840"/>
          <w:pgMar w:top="1440" w:right="1440" w:bottom="1440" w:left="1440" w:header="720" w:footer="720" w:gutter="0"/>
          <w:cols w:space="720"/>
          <w:titlePg/>
          <w:docGrid w:linePitch="360"/>
        </w:sectPr>
      </w:pPr>
      <w:r w:rsidRPr="008E3487">
        <w:rPr>
          <w:rFonts w:ascii="Times New Roman" w:hAnsi="Times New Roman"/>
        </w:rPr>
        <w:tab/>
      </w:r>
      <w:r w:rsidRPr="008E3487">
        <w:rPr>
          <w:rFonts w:ascii="Times New Roman" w:hAnsi="Times New Roman"/>
        </w:rPr>
        <w:tab/>
        <w:t>Administrative Law Judge</w:t>
      </w:r>
    </w:p>
    <w:p w14:paraId="34FB2BBA" w14:textId="77777777" w:rsidR="007532AF" w:rsidRDefault="007532AF" w:rsidP="007532A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C-2019-3011586 - BRIAN HOEFT v. METROPOLITAN EDISON CO</w:t>
      </w:r>
      <w:r>
        <w:rPr>
          <w:rFonts w:ascii="Microsoft Sans Serif" w:eastAsia="Microsoft Sans Serif" w:hAnsi="Microsoft Sans Serif" w:cs="Microsoft Sans Serif"/>
          <w:b/>
          <w:u w:val="single"/>
        </w:rPr>
        <w:cr/>
      </w:r>
      <w:r w:rsidRPr="00257E1B">
        <w:rPr>
          <w:rFonts w:ascii="Microsoft Sans Serif" w:eastAsia="Microsoft Sans Serif" w:hAnsi="Microsoft Sans Serif" w:cs="Microsoft Sans Serif"/>
          <w:bCs/>
          <w:i/>
          <w:iCs/>
        </w:rPr>
        <w:t>Revised 12.15.2023</w:t>
      </w:r>
    </w:p>
    <w:p w14:paraId="1F5A6952" w14:textId="77777777" w:rsidR="007532AF" w:rsidRDefault="007532AF" w:rsidP="007532AF">
      <w:pPr>
        <w:rPr>
          <w:rFonts w:ascii="Microsoft Sans Serif" w:eastAsia="Microsoft Sans Serif" w:hAnsi="Microsoft Sans Serif" w:cs="Microsoft Sans Serif"/>
        </w:rPr>
      </w:pPr>
    </w:p>
    <w:p w14:paraId="22C959D6" w14:textId="02B97216" w:rsidR="007532AF" w:rsidRDefault="007532AF" w:rsidP="007532AF">
      <w:pPr>
        <w:rPr>
          <w:rFonts w:ascii="Microsoft Sans Serif" w:eastAsia="Microsoft Sans Serif" w:hAnsi="Microsoft Sans Serif" w:cs="Microsoft Sans Serif"/>
        </w:rPr>
      </w:pPr>
      <w:r>
        <w:rPr>
          <w:rFonts w:ascii="Microsoft Sans Serif" w:eastAsia="Microsoft Sans Serif" w:hAnsi="Microsoft Sans Serif" w:cs="Microsoft Sans Serif"/>
        </w:rPr>
        <w:t>BRIAN A HOEFT</w:t>
      </w:r>
      <w:r>
        <w:rPr>
          <w:rFonts w:ascii="Microsoft Sans Serif" w:eastAsia="Microsoft Sans Serif" w:hAnsi="Microsoft Sans Serif" w:cs="Microsoft Sans Serif"/>
        </w:rPr>
        <w:cr/>
        <w:t>760 WHITE OAKS MANOR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656</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7769</w:t>
      </w:r>
      <w:r>
        <w:rPr>
          <w:rFonts w:ascii="Microsoft Sans Serif" w:eastAsia="Microsoft Sans Serif" w:hAnsi="Microsoft Sans Serif" w:cs="Microsoft Sans Serif"/>
        </w:rPr>
        <w:cr/>
      </w:r>
      <w:hyperlink r:id="rId9" w:history="1">
        <w:r w:rsidRPr="00392A93">
          <w:rPr>
            <w:rStyle w:val="Hyperlink"/>
            <w:rFonts w:ascii="Microsoft Sans Serif" w:eastAsia="Microsoft Sans Serif" w:hAnsi="Microsoft Sans Serif" w:cs="Microsoft Sans Serif"/>
          </w:rPr>
          <w:t>deletedregularly@hushmail.com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188235D" w14:textId="77777777" w:rsidR="007532AF" w:rsidRDefault="007532AF" w:rsidP="007532AF">
      <w:pPr>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610.921.6658</w:t>
      </w:r>
      <w:r w:rsidRPr="002A6CDB">
        <w:rPr>
          <w:rFonts w:ascii="Microsoft Sans Serif" w:eastAsia="Microsoft Sans Serif" w:hAnsi="Microsoft Sans Serif" w:cs="Microsoft Sans Serif"/>
          <w:b/>
          <w:bCs/>
        </w:rPr>
        <w:cr/>
        <w:t>610.921.6203</w:t>
      </w:r>
    </w:p>
    <w:p w14:paraId="7EC1583C" w14:textId="77777777" w:rsidR="007532AF" w:rsidRDefault="007532AF" w:rsidP="007532AF">
      <w:pPr>
        <w:rPr>
          <w:rFonts w:ascii="Microsoft Sans Serif" w:eastAsia="Microsoft Sans Serif" w:hAnsi="Microsoft Sans Serif" w:cs="Microsoft Sans Serif"/>
        </w:rPr>
      </w:pPr>
      <w:hyperlink r:id="rId10" w:history="1">
        <w:r w:rsidRPr="00392A93">
          <w:rPr>
            <w:rStyle w:val="Hyperlink"/>
            <w:rFonts w:ascii="Microsoft Sans Serif" w:eastAsia="Microsoft Sans Serif" w:hAnsi="Microsoft Sans Serif" w:cs="Microsoft Sans Serif"/>
          </w:rPr>
          <w:t>tgiesler@firstenergycorp.com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1" w:history="1">
        <w:r w:rsidRPr="00392A93">
          <w:rPr>
            <w:rStyle w:val="Hyperlink"/>
            <w:rFonts w:ascii="Microsoft Sans Serif" w:eastAsia="Microsoft Sans Serif" w:hAnsi="Microsoft Sans Serif" w:cs="Microsoft Sans Serif"/>
          </w:rPr>
          <w:t>llepkoski@firstenergycorp.com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A62F181" w14:textId="77777777" w:rsidR="007532AF" w:rsidRPr="002A6CDB" w:rsidRDefault="007532AF" w:rsidP="007532AF">
      <w:pPr>
        <w:rPr>
          <w:i/>
          <w:iCs/>
        </w:rPr>
      </w:pPr>
      <w:r w:rsidRPr="002A6CDB">
        <w:rPr>
          <w:rFonts w:ascii="Microsoft Sans Serif" w:eastAsia="Microsoft Sans Serif" w:hAnsi="Microsoft Sans Serif" w:cs="Microsoft Sans Serif"/>
          <w:i/>
          <w:iCs/>
        </w:rPr>
        <w:t xml:space="preserve">(Counsel for </w:t>
      </w:r>
      <w:proofErr w:type="spellStart"/>
      <w:r w:rsidRPr="002A6CDB">
        <w:rPr>
          <w:rFonts w:ascii="Microsoft Sans Serif" w:eastAsia="Microsoft Sans Serif" w:hAnsi="Microsoft Sans Serif" w:cs="Microsoft Sans Serif"/>
          <w:i/>
          <w:iCs/>
        </w:rPr>
        <w:t>MetEd</w:t>
      </w:r>
      <w:proofErr w:type="spellEnd"/>
      <w:r w:rsidRPr="002A6CDB">
        <w:rPr>
          <w:rFonts w:ascii="Microsoft Sans Serif" w:eastAsia="Microsoft Sans Serif" w:hAnsi="Microsoft Sans Serif" w:cs="Microsoft Sans Serif"/>
          <w:i/>
          <w:iCs/>
        </w:rPr>
        <w:t>)</w:t>
      </w:r>
      <w:r w:rsidRPr="002A6CDB">
        <w:rPr>
          <w:rFonts w:ascii="Microsoft Sans Serif" w:eastAsia="Microsoft Sans Serif" w:hAnsi="Microsoft Sans Serif" w:cs="Microsoft Sans Serif"/>
          <w:i/>
          <w:iCs/>
        </w:rPr>
        <w:cr/>
      </w:r>
    </w:p>
    <w:p w14:paraId="20D7B782" w14:textId="77777777" w:rsidR="007532AF" w:rsidRDefault="007532AF" w:rsidP="007532AF"/>
    <w:p w14:paraId="5B05A640" w14:textId="77777777" w:rsidR="008E3487" w:rsidRDefault="008E3487" w:rsidP="008E3487">
      <w:pPr>
        <w:tabs>
          <w:tab w:val="left" w:pos="720"/>
          <w:tab w:val="left" w:pos="5040"/>
        </w:tabs>
        <w:suppressAutoHyphens/>
        <w:rPr>
          <w:rFonts w:ascii="Times New Roman" w:hAnsi="Times New Roman"/>
        </w:rPr>
      </w:pPr>
    </w:p>
    <w:sectPr w:rsidR="008E3487" w:rsidSect="007532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DC09" w14:textId="77777777" w:rsidR="002A200A" w:rsidRDefault="002A200A">
      <w:pPr>
        <w:spacing w:line="20" w:lineRule="exact"/>
        <w:rPr>
          <w:sz w:val="20"/>
          <w:szCs w:val="20"/>
        </w:rPr>
      </w:pPr>
    </w:p>
  </w:endnote>
  <w:endnote w:type="continuationSeparator" w:id="0">
    <w:p w14:paraId="57465B89" w14:textId="77777777" w:rsidR="002A200A" w:rsidRDefault="002A200A">
      <w:pPr>
        <w:pStyle w:val="ParaTab1"/>
        <w:rPr>
          <w:sz w:val="20"/>
          <w:szCs w:val="20"/>
        </w:rPr>
      </w:pPr>
      <w:r>
        <w:rPr>
          <w:sz w:val="20"/>
          <w:szCs w:val="20"/>
        </w:rPr>
        <w:t xml:space="preserve"> </w:t>
      </w:r>
    </w:p>
  </w:endnote>
  <w:endnote w:type="continuationNotice" w:id="1">
    <w:p w14:paraId="481996B4" w14:textId="77777777" w:rsidR="002A200A" w:rsidRDefault="002A200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45211"/>
      <w:docPartObj>
        <w:docPartGallery w:val="Page Numbers (Bottom of Page)"/>
        <w:docPartUnique/>
      </w:docPartObj>
    </w:sdtPr>
    <w:sdtEndPr>
      <w:rPr>
        <w:rFonts w:ascii="Times New Roman" w:hAnsi="Times New Roman" w:cs="Times New Roman"/>
        <w:noProof/>
        <w:sz w:val="20"/>
        <w:szCs w:val="20"/>
      </w:rPr>
    </w:sdtEndPr>
    <w:sdtContent>
      <w:p w14:paraId="0EC6F694" w14:textId="5F1C5F7A" w:rsidR="008E64E2" w:rsidRPr="007532AF" w:rsidRDefault="008E64E2">
        <w:pPr>
          <w:pStyle w:val="Footer"/>
          <w:jc w:val="center"/>
          <w:rPr>
            <w:rFonts w:ascii="Times New Roman" w:hAnsi="Times New Roman" w:cs="Times New Roman"/>
            <w:sz w:val="20"/>
            <w:szCs w:val="20"/>
          </w:rPr>
        </w:pPr>
        <w:r w:rsidRPr="007532AF">
          <w:rPr>
            <w:rFonts w:ascii="Times New Roman" w:hAnsi="Times New Roman" w:cs="Times New Roman"/>
            <w:sz w:val="20"/>
            <w:szCs w:val="20"/>
          </w:rPr>
          <w:fldChar w:fldCharType="begin"/>
        </w:r>
        <w:r w:rsidRPr="007532AF">
          <w:rPr>
            <w:rFonts w:ascii="Times New Roman" w:hAnsi="Times New Roman" w:cs="Times New Roman"/>
            <w:sz w:val="20"/>
            <w:szCs w:val="20"/>
          </w:rPr>
          <w:instrText xml:space="preserve"> PAGE   \* MERGEFORMAT </w:instrText>
        </w:r>
        <w:r w:rsidRPr="007532AF">
          <w:rPr>
            <w:rFonts w:ascii="Times New Roman" w:hAnsi="Times New Roman" w:cs="Times New Roman"/>
            <w:sz w:val="20"/>
            <w:szCs w:val="20"/>
          </w:rPr>
          <w:fldChar w:fldCharType="separate"/>
        </w:r>
        <w:r w:rsidRPr="007532AF">
          <w:rPr>
            <w:rFonts w:ascii="Times New Roman" w:hAnsi="Times New Roman" w:cs="Times New Roman"/>
            <w:noProof/>
            <w:sz w:val="20"/>
            <w:szCs w:val="20"/>
          </w:rPr>
          <w:t>2</w:t>
        </w:r>
        <w:r w:rsidRPr="007532A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1468" w14:textId="2D762D93" w:rsidR="007532AF" w:rsidRPr="007532AF" w:rsidRDefault="007532A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CED" w14:textId="77777777" w:rsidR="002A200A" w:rsidRDefault="002A200A" w:rsidP="00430402">
      <w:pPr>
        <w:pStyle w:val="ParaTab1"/>
        <w:ind w:firstLine="0"/>
        <w:rPr>
          <w:sz w:val="20"/>
          <w:szCs w:val="20"/>
        </w:rPr>
      </w:pPr>
      <w:r>
        <w:rPr>
          <w:sz w:val="20"/>
          <w:szCs w:val="20"/>
        </w:rPr>
        <w:separator/>
      </w:r>
    </w:p>
  </w:footnote>
  <w:footnote w:type="continuationSeparator" w:id="0">
    <w:p w14:paraId="24F17312" w14:textId="77777777" w:rsidR="002A200A" w:rsidRDefault="002A200A">
      <w:pPr>
        <w:pStyle w:val="ParaTab1"/>
        <w:rPr>
          <w:sz w:val="20"/>
          <w:szCs w:val="20"/>
        </w:rPr>
      </w:pPr>
      <w:r>
        <w:rPr>
          <w:sz w:val="20"/>
          <w:szCs w:val="20"/>
        </w:rPr>
        <w:t>(..</w:t>
      </w:r>
    </w:p>
  </w:footnote>
  <w:footnote w:id="1">
    <w:p w14:paraId="5A85D609" w14:textId="1DA96D74" w:rsidR="000A2F78" w:rsidRPr="000A2F78" w:rsidRDefault="000A2F78" w:rsidP="00430402">
      <w:pPr>
        <w:pStyle w:val="FootnoteText"/>
        <w:ind w:firstLine="720"/>
        <w:rPr>
          <w:sz w:val="20"/>
          <w:szCs w:val="20"/>
        </w:rPr>
      </w:pPr>
      <w:r w:rsidRPr="000A2F78">
        <w:rPr>
          <w:rStyle w:val="FootnoteReference"/>
          <w:sz w:val="20"/>
          <w:szCs w:val="20"/>
        </w:rPr>
        <w:footnoteRef/>
      </w:r>
      <w:r w:rsidRPr="000A2F78">
        <w:rPr>
          <w:sz w:val="20"/>
          <w:szCs w:val="20"/>
        </w:rPr>
        <w:t xml:space="preserve"> </w:t>
      </w:r>
      <w:r w:rsidRPr="000A2F78">
        <w:rPr>
          <w:sz w:val="20"/>
          <w:szCs w:val="20"/>
        </w:rPr>
        <w:tab/>
      </w:r>
      <w:r w:rsidRPr="000A2F78">
        <w:rPr>
          <w:i/>
          <w:iCs/>
          <w:sz w:val="20"/>
          <w:szCs w:val="20"/>
        </w:rPr>
        <w:t>Smart Meter Procurement and Installation</w:t>
      </w:r>
      <w:r w:rsidRPr="000A2F78">
        <w:rPr>
          <w:sz w:val="20"/>
          <w:szCs w:val="20"/>
        </w:rPr>
        <w:t>, Docket No. M-2009-2092655</w:t>
      </w:r>
      <w:r w:rsidR="009026C1">
        <w:rPr>
          <w:sz w:val="20"/>
          <w:szCs w:val="20"/>
        </w:rPr>
        <w:t xml:space="preserve"> (Order entered November 4, 2020)</w:t>
      </w:r>
    </w:p>
  </w:footnote>
  <w:footnote w:id="2">
    <w:p w14:paraId="30A833A6" w14:textId="7645DA83" w:rsidR="002C29A7" w:rsidRDefault="002C29A7" w:rsidP="00430402">
      <w:pPr>
        <w:pStyle w:val="FootnoteText"/>
        <w:ind w:firstLine="720"/>
        <w:rPr>
          <w:sz w:val="20"/>
          <w:szCs w:val="20"/>
        </w:rPr>
      </w:pPr>
      <w:r w:rsidRPr="0067344B">
        <w:rPr>
          <w:rStyle w:val="FootnoteReference"/>
          <w:sz w:val="20"/>
          <w:szCs w:val="20"/>
        </w:rPr>
        <w:footnoteRef/>
      </w:r>
      <w:r w:rsidRPr="0067344B">
        <w:rPr>
          <w:sz w:val="20"/>
          <w:szCs w:val="20"/>
        </w:rPr>
        <w:t xml:space="preserve"> </w:t>
      </w:r>
      <w:r w:rsidR="0067344B" w:rsidRPr="0067344B">
        <w:rPr>
          <w:sz w:val="20"/>
          <w:szCs w:val="20"/>
        </w:rPr>
        <w:tab/>
      </w:r>
      <w:r w:rsidR="00E26A0C" w:rsidRPr="0067344B">
        <w:rPr>
          <w:sz w:val="20"/>
          <w:szCs w:val="20"/>
        </w:rPr>
        <w:t>Complainant is not required to amend his Complaint</w:t>
      </w:r>
      <w:r w:rsidR="0067344B" w:rsidRPr="0067344B">
        <w:rPr>
          <w:sz w:val="20"/>
          <w:szCs w:val="20"/>
        </w:rPr>
        <w:t xml:space="preserve"> </w:t>
      </w:r>
      <w:proofErr w:type="gramStart"/>
      <w:r w:rsidR="0067344B" w:rsidRPr="0067344B">
        <w:rPr>
          <w:sz w:val="20"/>
          <w:szCs w:val="20"/>
        </w:rPr>
        <w:t>on the basis of</w:t>
      </w:r>
      <w:proofErr w:type="gramEnd"/>
      <w:r w:rsidR="0067344B" w:rsidRPr="0067344B">
        <w:rPr>
          <w:sz w:val="20"/>
          <w:szCs w:val="20"/>
        </w:rPr>
        <w:t xml:space="preserve"> </w:t>
      </w:r>
      <w:r w:rsidR="0067344B" w:rsidRPr="0067344B">
        <w:rPr>
          <w:i/>
          <w:iCs/>
          <w:sz w:val="20"/>
          <w:szCs w:val="20"/>
        </w:rPr>
        <w:t>Povacz</w:t>
      </w:r>
      <w:r w:rsidR="007C4C0B">
        <w:rPr>
          <w:i/>
          <w:iCs/>
          <w:sz w:val="20"/>
          <w:szCs w:val="20"/>
        </w:rPr>
        <w:t xml:space="preserve"> II</w:t>
      </w:r>
      <w:r w:rsidR="0067344B" w:rsidRPr="0067344B">
        <w:rPr>
          <w:sz w:val="20"/>
          <w:szCs w:val="20"/>
        </w:rPr>
        <w:t>.</w:t>
      </w:r>
    </w:p>
    <w:p w14:paraId="7AF41029" w14:textId="77777777" w:rsidR="00250017" w:rsidRPr="0067344B" w:rsidRDefault="00250017">
      <w:pPr>
        <w:pStyle w:val="FootnoteText"/>
        <w:rPr>
          <w:sz w:val="20"/>
          <w:szCs w:val="20"/>
        </w:rPr>
      </w:pPr>
    </w:p>
  </w:footnote>
  <w:footnote w:id="3">
    <w:p w14:paraId="5AAE29CD" w14:textId="3B0127D3" w:rsidR="00250017" w:rsidRDefault="00250017" w:rsidP="00430402">
      <w:pPr>
        <w:pStyle w:val="FootnoteText"/>
        <w:ind w:firstLine="720"/>
        <w:rPr>
          <w:sz w:val="20"/>
          <w:szCs w:val="20"/>
        </w:rPr>
      </w:pPr>
      <w:r w:rsidRPr="007A2D3D">
        <w:rPr>
          <w:rStyle w:val="FootnoteReference"/>
          <w:sz w:val="20"/>
          <w:szCs w:val="20"/>
        </w:rPr>
        <w:footnoteRef/>
      </w:r>
      <w:r w:rsidRPr="007A2D3D">
        <w:rPr>
          <w:sz w:val="20"/>
          <w:szCs w:val="20"/>
        </w:rPr>
        <w:t xml:space="preserve"> </w:t>
      </w:r>
      <w:r w:rsidR="007A2D3D" w:rsidRPr="007A2D3D">
        <w:rPr>
          <w:sz w:val="20"/>
          <w:szCs w:val="20"/>
        </w:rPr>
        <w:tab/>
        <w:t xml:space="preserve">It is </w:t>
      </w:r>
      <w:r w:rsidR="005736AE">
        <w:rPr>
          <w:sz w:val="20"/>
          <w:szCs w:val="20"/>
        </w:rPr>
        <w:t xml:space="preserve">also </w:t>
      </w:r>
      <w:r w:rsidR="007A2D3D" w:rsidRPr="007A2D3D">
        <w:rPr>
          <w:sz w:val="20"/>
          <w:szCs w:val="20"/>
        </w:rPr>
        <w:t>well established that mere opinion, without more, is insufficient to meet</w:t>
      </w:r>
      <w:r w:rsidR="005736AE">
        <w:rPr>
          <w:sz w:val="20"/>
          <w:szCs w:val="20"/>
        </w:rPr>
        <w:t xml:space="preserve"> a</w:t>
      </w:r>
      <w:r w:rsidR="007A2D3D" w:rsidRPr="007A2D3D">
        <w:rPr>
          <w:sz w:val="20"/>
          <w:szCs w:val="20"/>
        </w:rPr>
        <w:t xml:space="preserve"> Complainant’s burden.  </w:t>
      </w:r>
      <w:r w:rsidR="007A2D3D" w:rsidRPr="007A2D3D">
        <w:rPr>
          <w:i/>
          <w:iCs/>
          <w:sz w:val="20"/>
          <w:szCs w:val="20"/>
        </w:rPr>
        <w:t>Richard Kirby v. PPL Electric Utilities Corporation</w:t>
      </w:r>
      <w:r w:rsidR="007A2D3D" w:rsidRPr="007A2D3D">
        <w:rPr>
          <w:sz w:val="20"/>
          <w:szCs w:val="20"/>
        </w:rPr>
        <w:t xml:space="preserve">, Docket No. C-20066297 (Final Order entered November 16, 2006) (citing </w:t>
      </w:r>
      <w:r w:rsidR="007A2D3D" w:rsidRPr="007A2D3D">
        <w:rPr>
          <w:i/>
          <w:iCs/>
          <w:sz w:val="20"/>
          <w:szCs w:val="20"/>
        </w:rPr>
        <w:t>PA Bureau of Corrections v. City of Pittsburgh</w:t>
      </w:r>
      <w:r w:rsidR="007A2D3D" w:rsidRPr="007A2D3D">
        <w:rPr>
          <w:sz w:val="20"/>
          <w:szCs w:val="20"/>
        </w:rPr>
        <w:t>, 532 A. 2d 12 (1987)).</w:t>
      </w:r>
      <w:r w:rsidR="009325CB">
        <w:rPr>
          <w:sz w:val="20"/>
          <w:szCs w:val="20"/>
        </w:rPr>
        <w:t xml:space="preserve">  </w:t>
      </w:r>
      <w:r w:rsidR="0066281E">
        <w:rPr>
          <w:sz w:val="20"/>
          <w:szCs w:val="20"/>
        </w:rPr>
        <w:t>I</w:t>
      </w:r>
      <w:r w:rsidR="00A62837">
        <w:rPr>
          <w:sz w:val="20"/>
          <w:szCs w:val="20"/>
        </w:rPr>
        <w:t xml:space="preserve"> </w:t>
      </w:r>
      <w:r w:rsidR="0066281E">
        <w:rPr>
          <w:sz w:val="20"/>
          <w:szCs w:val="20"/>
        </w:rPr>
        <w:t>n</w:t>
      </w:r>
      <w:r w:rsidR="00A62837">
        <w:rPr>
          <w:sz w:val="20"/>
          <w:szCs w:val="20"/>
        </w:rPr>
        <w:t>ote that in</w:t>
      </w:r>
      <w:r w:rsidR="0066281E">
        <w:rPr>
          <w:sz w:val="20"/>
          <w:szCs w:val="20"/>
        </w:rPr>
        <w:t xml:space="preserve"> his Answers to New Matter and </w:t>
      </w:r>
      <w:r w:rsidR="006A61BF">
        <w:rPr>
          <w:sz w:val="20"/>
          <w:szCs w:val="20"/>
        </w:rPr>
        <w:t xml:space="preserve">to </w:t>
      </w:r>
      <w:proofErr w:type="spellStart"/>
      <w:r w:rsidR="0066281E">
        <w:rPr>
          <w:sz w:val="20"/>
          <w:szCs w:val="20"/>
        </w:rPr>
        <w:t>Met</w:t>
      </w:r>
      <w:proofErr w:type="spellEnd"/>
      <w:r w:rsidR="0066281E">
        <w:rPr>
          <w:sz w:val="20"/>
          <w:szCs w:val="20"/>
        </w:rPr>
        <w:t xml:space="preserve">-Ed’s Preliminary Objections, </w:t>
      </w:r>
      <w:r w:rsidR="007732EC">
        <w:rPr>
          <w:sz w:val="20"/>
          <w:szCs w:val="20"/>
        </w:rPr>
        <w:t xml:space="preserve">Complainant appears to be proceeding </w:t>
      </w:r>
      <w:proofErr w:type="gramStart"/>
      <w:r w:rsidR="007732EC">
        <w:rPr>
          <w:sz w:val="20"/>
          <w:szCs w:val="20"/>
        </w:rPr>
        <w:t>on the basis of</w:t>
      </w:r>
      <w:proofErr w:type="gramEnd"/>
      <w:r w:rsidR="007732EC">
        <w:rPr>
          <w:sz w:val="20"/>
          <w:szCs w:val="20"/>
        </w:rPr>
        <w:t xml:space="preserve"> </w:t>
      </w:r>
      <w:r w:rsidR="007732EC" w:rsidRPr="00A62837">
        <w:rPr>
          <w:i/>
          <w:iCs/>
          <w:sz w:val="20"/>
          <w:szCs w:val="20"/>
        </w:rPr>
        <w:t>anticipated har</w:t>
      </w:r>
      <w:r w:rsidR="00A62837" w:rsidRPr="00A62837">
        <w:rPr>
          <w:i/>
          <w:iCs/>
          <w:sz w:val="20"/>
          <w:szCs w:val="20"/>
        </w:rPr>
        <w:t>m</w:t>
      </w:r>
      <w:r w:rsidR="00A62837">
        <w:rPr>
          <w:sz w:val="20"/>
          <w:szCs w:val="20"/>
        </w:rPr>
        <w:t xml:space="preserve"> rather than an allegation of specific harm.</w:t>
      </w:r>
    </w:p>
    <w:p w14:paraId="6DC71F79" w14:textId="77777777" w:rsidR="002B1112" w:rsidRPr="007A2D3D" w:rsidRDefault="002B1112" w:rsidP="00430402">
      <w:pPr>
        <w:pStyle w:val="FootnoteText"/>
        <w:ind w:firstLine="720"/>
        <w:rPr>
          <w:sz w:val="20"/>
          <w:szCs w:val="20"/>
        </w:rPr>
      </w:pPr>
    </w:p>
  </w:footnote>
  <w:footnote w:id="4">
    <w:p w14:paraId="51366BB8" w14:textId="0878CB45" w:rsidR="002B1112" w:rsidRPr="009475DE" w:rsidRDefault="002B1112">
      <w:pPr>
        <w:pStyle w:val="FootnoteText"/>
        <w:rPr>
          <w:sz w:val="20"/>
          <w:szCs w:val="20"/>
        </w:rPr>
      </w:pPr>
      <w:r>
        <w:tab/>
      </w:r>
      <w:r w:rsidRPr="009475DE">
        <w:rPr>
          <w:rStyle w:val="FootnoteReference"/>
          <w:sz w:val="20"/>
          <w:szCs w:val="20"/>
        </w:rPr>
        <w:footnoteRef/>
      </w:r>
      <w:r w:rsidRPr="009475DE">
        <w:rPr>
          <w:sz w:val="20"/>
          <w:szCs w:val="20"/>
        </w:rPr>
        <w:t xml:space="preserve"> </w:t>
      </w:r>
      <w:r w:rsidRPr="009475DE">
        <w:rPr>
          <w:sz w:val="20"/>
          <w:szCs w:val="20"/>
        </w:rPr>
        <w:tab/>
        <w:t xml:space="preserve">“Reference to a preponderance of the evidence burden of proof and a </w:t>
      </w:r>
      <w:r w:rsidR="00DE1A50">
        <w:rPr>
          <w:sz w:val="20"/>
          <w:szCs w:val="20"/>
        </w:rPr>
        <w:t>‘</w:t>
      </w:r>
      <w:r w:rsidRPr="009475DE">
        <w:rPr>
          <w:sz w:val="20"/>
          <w:szCs w:val="20"/>
        </w:rPr>
        <w:t>conclusive causal connection</w:t>
      </w:r>
      <w:r w:rsidR="00DE1A50">
        <w:rPr>
          <w:sz w:val="20"/>
          <w:szCs w:val="20"/>
        </w:rPr>
        <w:t>’</w:t>
      </w:r>
      <w:r w:rsidRPr="009475DE">
        <w:rPr>
          <w:sz w:val="20"/>
          <w:szCs w:val="20"/>
        </w:rPr>
        <w:t xml:space="preserve"> evidentiary standard to assess whether expert evidence meets that burden is not inconsistent. The burden for proving a safety or reasonableness violation under Section 1501 is the same, where the challenge is based on the effect on the health of the customer.</w:t>
      </w:r>
      <w:r w:rsidR="009475DE" w:rsidRPr="009475DE">
        <w:rPr>
          <w:sz w:val="20"/>
          <w:szCs w:val="20"/>
        </w:rPr>
        <w:t xml:space="preserve">”  </w:t>
      </w:r>
      <w:r w:rsidR="009475DE" w:rsidRPr="009475DE">
        <w:rPr>
          <w:i/>
          <w:iCs/>
          <w:sz w:val="20"/>
          <w:szCs w:val="20"/>
        </w:rPr>
        <w:t>Povacz II</w:t>
      </w:r>
      <w:r w:rsidR="009475DE" w:rsidRPr="009475DE">
        <w:rPr>
          <w:sz w:val="20"/>
          <w:szCs w:val="20"/>
        </w:rPr>
        <w:t xml:space="preserve"> at 1014.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96992">
    <w:abstractNumId w:val="6"/>
  </w:num>
  <w:num w:numId="2" w16cid:durableId="553396693">
    <w:abstractNumId w:val="4"/>
  </w:num>
  <w:num w:numId="3" w16cid:durableId="346058488">
    <w:abstractNumId w:val="3"/>
  </w:num>
  <w:num w:numId="4" w16cid:durableId="1980530514">
    <w:abstractNumId w:val="7"/>
  </w:num>
  <w:num w:numId="5" w16cid:durableId="124113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4374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055105">
    <w:abstractNumId w:val="8"/>
  </w:num>
  <w:num w:numId="8" w16cid:durableId="777912844">
    <w:abstractNumId w:val="0"/>
  </w:num>
  <w:num w:numId="9" w16cid:durableId="831485795">
    <w:abstractNumId w:val="9"/>
  </w:num>
  <w:num w:numId="10" w16cid:durableId="1524244255">
    <w:abstractNumId w:val="10"/>
  </w:num>
  <w:num w:numId="11" w16cid:durableId="654189956">
    <w:abstractNumId w:val="11"/>
  </w:num>
  <w:num w:numId="12" w16cid:durableId="71702094">
    <w:abstractNumId w:val="2"/>
  </w:num>
  <w:num w:numId="13" w16cid:durableId="1663465138">
    <w:abstractNumId w:val="1"/>
  </w:num>
  <w:num w:numId="14" w16cid:durableId="1766223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73F"/>
    <w:rsid w:val="00021D83"/>
    <w:rsid w:val="00022EFE"/>
    <w:rsid w:val="000238A7"/>
    <w:rsid w:val="0002532B"/>
    <w:rsid w:val="0002580A"/>
    <w:rsid w:val="000300A2"/>
    <w:rsid w:val="0003028B"/>
    <w:rsid w:val="000335D2"/>
    <w:rsid w:val="00033862"/>
    <w:rsid w:val="0003733C"/>
    <w:rsid w:val="00037831"/>
    <w:rsid w:val="000420AC"/>
    <w:rsid w:val="0004353F"/>
    <w:rsid w:val="00043DE1"/>
    <w:rsid w:val="000443C2"/>
    <w:rsid w:val="00044466"/>
    <w:rsid w:val="00044EB2"/>
    <w:rsid w:val="0004672F"/>
    <w:rsid w:val="0005019C"/>
    <w:rsid w:val="000516A9"/>
    <w:rsid w:val="00051734"/>
    <w:rsid w:val="00052537"/>
    <w:rsid w:val="00055A67"/>
    <w:rsid w:val="00062525"/>
    <w:rsid w:val="00064684"/>
    <w:rsid w:val="0006528C"/>
    <w:rsid w:val="00066AF1"/>
    <w:rsid w:val="00070C88"/>
    <w:rsid w:val="00071C51"/>
    <w:rsid w:val="0007411C"/>
    <w:rsid w:val="00074E7D"/>
    <w:rsid w:val="00074FDA"/>
    <w:rsid w:val="0008222D"/>
    <w:rsid w:val="00082AD0"/>
    <w:rsid w:val="00082B0F"/>
    <w:rsid w:val="00083501"/>
    <w:rsid w:val="00086D1F"/>
    <w:rsid w:val="00090C6F"/>
    <w:rsid w:val="00090EC7"/>
    <w:rsid w:val="00091592"/>
    <w:rsid w:val="00092F70"/>
    <w:rsid w:val="00097AD6"/>
    <w:rsid w:val="000A2F78"/>
    <w:rsid w:val="000A6966"/>
    <w:rsid w:val="000A6E66"/>
    <w:rsid w:val="000A7D36"/>
    <w:rsid w:val="000B0C81"/>
    <w:rsid w:val="000B3C86"/>
    <w:rsid w:val="000B69A3"/>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6F8"/>
    <w:rsid w:val="000D49B8"/>
    <w:rsid w:val="000E0342"/>
    <w:rsid w:val="000E0A07"/>
    <w:rsid w:val="000E1C79"/>
    <w:rsid w:val="000E2A9A"/>
    <w:rsid w:val="000E4193"/>
    <w:rsid w:val="000E449C"/>
    <w:rsid w:val="000E4757"/>
    <w:rsid w:val="000E59DD"/>
    <w:rsid w:val="000E5C1B"/>
    <w:rsid w:val="000E6046"/>
    <w:rsid w:val="000E6CC8"/>
    <w:rsid w:val="000E7B8F"/>
    <w:rsid w:val="000F2ABD"/>
    <w:rsid w:val="000F347B"/>
    <w:rsid w:val="000F65AF"/>
    <w:rsid w:val="000F7094"/>
    <w:rsid w:val="00103C07"/>
    <w:rsid w:val="001126AE"/>
    <w:rsid w:val="00117698"/>
    <w:rsid w:val="00117FE0"/>
    <w:rsid w:val="001210D3"/>
    <w:rsid w:val="001229E9"/>
    <w:rsid w:val="00122CE0"/>
    <w:rsid w:val="001245C5"/>
    <w:rsid w:val="00125738"/>
    <w:rsid w:val="0013598D"/>
    <w:rsid w:val="001364D0"/>
    <w:rsid w:val="001409BF"/>
    <w:rsid w:val="001410A7"/>
    <w:rsid w:val="00142ACC"/>
    <w:rsid w:val="00142B89"/>
    <w:rsid w:val="00144450"/>
    <w:rsid w:val="00145617"/>
    <w:rsid w:val="001507E8"/>
    <w:rsid w:val="00150A55"/>
    <w:rsid w:val="00150E4C"/>
    <w:rsid w:val="0015184E"/>
    <w:rsid w:val="001545A6"/>
    <w:rsid w:val="00155746"/>
    <w:rsid w:val="00155FA9"/>
    <w:rsid w:val="0015688E"/>
    <w:rsid w:val="00166348"/>
    <w:rsid w:val="001708BC"/>
    <w:rsid w:val="00171F5D"/>
    <w:rsid w:val="0017270C"/>
    <w:rsid w:val="00181146"/>
    <w:rsid w:val="00182138"/>
    <w:rsid w:val="00182567"/>
    <w:rsid w:val="0018287E"/>
    <w:rsid w:val="00184AD6"/>
    <w:rsid w:val="00186DA2"/>
    <w:rsid w:val="00190CE1"/>
    <w:rsid w:val="00190DCB"/>
    <w:rsid w:val="00190E46"/>
    <w:rsid w:val="001913E2"/>
    <w:rsid w:val="00191922"/>
    <w:rsid w:val="00193755"/>
    <w:rsid w:val="00193F05"/>
    <w:rsid w:val="001955C7"/>
    <w:rsid w:val="00196175"/>
    <w:rsid w:val="001A12ED"/>
    <w:rsid w:val="001A1E9E"/>
    <w:rsid w:val="001A223D"/>
    <w:rsid w:val="001A24CA"/>
    <w:rsid w:val="001A3DE6"/>
    <w:rsid w:val="001A526C"/>
    <w:rsid w:val="001B0B7E"/>
    <w:rsid w:val="001B1378"/>
    <w:rsid w:val="001B214F"/>
    <w:rsid w:val="001C075A"/>
    <w:rsid w:val="001C0BCA"/>
    <w:rsid w:val="001C7567"/>
    <w:rsid w:val="001D1AD1"/>
    <w:rsid w:val="001D2138"/>
    <w:rsid w:val="001D2771"/>
    <w:rsid w:val="001D4536"/>
    <w:rsid w:val="001D7B3E"/>
    <w:rsid w:val="001E1731"/>
    <w:rsid w:val="001E3718"/>
    <w:rsid w:val="001E3A07"/>
    <w:rsid w:val="001E4533"/>
    <w:rsid w:val="001E56A5"/>
    <w:rsid w:val="001E5BEA"/>
    <w:rsid w:val="001F1173"/>
    <w:rsid w:val="001F5029"/>
    <w:rsid w:val="001F7A4A"/>
    <w:rsid w:val="00201C8B"/>
    <w:rsid w:val="00204BE9"/>
    <w:rsid w:val="00204CFB"/>
    <w:rsid w:val="00206736"/>
    <w:rsid w:val="00207ADA"/>
    <w:rsid w:val="002122DF"/>
    <w:rsid w:val="002125F1"/>
    <w:rsid w:val="00213880"/>
    <w:rsid w:val="0022061E"/>
    <w:rsid w:val="00220BB0"/>
    <w:rsid w:val="00220C53"/>
    <w:rsid w:val="00224A48"/>
    <w:rsid w:val="002265EB"/>
    <w:rsid w:val="00226C0D"/>
    <w:rsid w:val="00226E37"/>
    <w:rsid w:val="00232D79"/>
    <w:rsid w:val="00232FC9"/>
    <w:rsid w:val="00234024"/>
    <w:rsid w:val="00235B22"/>
    <w:rsid w:val="0023722B"/>
    <w:rsid w:val="002403B7"/>
    <w:rsid w:val="00243D13"/>
    <w:rsid w:val="00244313"/>
    <w:rsid w:val="00244D8B"/>
    <w:rsid w:val="00250017"/>
    <w:rsid w:val="00251056"/>
    <w:rsid w:val="00254662"/>
    <w:rsid w:val="00254E27"/>
    <w:rsid w:val="00255E38"/>
    <w:rsid w:val="00256D75"/>
    <w:rsid w:val="00257165"/>
    <w:rsid w:val="00257AD4"/>
    <w:rsid w:val="002621BF"/>
    <w:rsid w:val="002624B6"/>
    <w:rsid w:val="00262548"/>
    <w:rsid w:val="002707F0"/>
    <w:rsid w:val="002710D3"/>
    <w:rsid w:val="00271EFF"/>
    <w:rsid w:val="00272A1B"/>
    <w:rsid w:val="00272C05"/>
    <w:rsid w:val="002731F5"/>
    <w:rsid w:val="0027423F"/>
    <w:rsid w:val="00274791"/>
    <w:rsid w:val="002758F8"/>
    <w:rsid w:val="002768A0"/>
    <w:rsid w:val="00276DC3"/>
    <w:rsid w:val="00276EA1"/>
    <w:rsid w:val="00280384"/>
    <w:rsid w:val="00281054"/>
    <w:rsid w:val="00281D25"/>
    <w:rsid w:val="0028258E"/>
    <w:rsid w:val="002838AA"/>
    <w:rsid w:val="002842AC"/>
    <w:rsid w:val="0028579C"/>
    <w:rsid w:val="00291412"/>
    <w:rsid w:val="00292C8C"/>
    <w:rsid w:val="00293108"/>
    <w:rsid w:val="002931C8"/>
    <w:rsid w:val="002932FD"/>
    <w:rsid w:val="002951B5"/>
    <w:rsid w:val="00296137"/>
    <w:rsid w:val="00297751"/>
    <w:rsid w:val="002A01C4"/>
    <w:rsid w:val="002A200A"/>
    <w:rsid w:val="002A205B"/>
    <w:rsid w:val="002A2257"/>
    <w:rsid w:val="002A4333"/>
    <w:rsid w:val="002A5C7B"/>
    <w:rsid w:val="002A62ED"/>
    <w:rsid w:val="002A6D6B"/>
    <w:rsid w:val="002B1112"/>
    <w:rsid w:val="002B135F"/>
    <w:rsid w:val="002B4BB0"/>
    <w:rsid w:val="002B4E1E"/>
    <w:rsid w:val="002B5E52"/>
    <w:rsid w:val="002B7715"/>
    <w:rsid w:val="002B78D7"/>
    <w:rsid w:val="002C08DF"/>
    <w:rsid w:val="002C194C"/>
    <w:rsid w:val="002C29A7"/>
    <w:rsid w:val="002C4757"/>
    <w:rsid w:val="002C77CC"/>
    <w:rsid w:val="002D0575"/>
    <w:rsid w:val="002D0730"/>
    <w:rsid w:val="002D13B6"/>
    <w:rsid w:val="002D4B8D"/>
    <w:rsid w:val="002D6203"/>
    <w:rsid w:val="002D6669"/>
    <w:rsid w:val="002D67F8"/>
    <w:rsid w:val="002D77AD"/>
    <w:rsid w:val="002E149C"/>
    <w:rsid w:val="002E35A1"/>
    <w:rsid w:val="002E40C6"/>
    <w:rsid w:val="002E4EDB"/>
    <w:rsid w:val="002E520E"/>
    <w:rsid w:val="002E5C7F"/>
    <w:rsid w:val="002E7FA3"/>
    <w:rsid w:val="002F03C2"/>
    <w:rsid w:val="002F3BEE"/>
    <w:rsid w:val="002F514A"/>
    <w:rsid w:val="002F5CD5"/>
    <w:rsid w:val="00300060"/>
    <w:rsid w:val="003046FE"/>
    <w:rsid w:val="00304B12"/>
    <w:rsid w:val="00305550"/>
    <w:rsid w:val="0031065F"/>
    <w:rsid w:val="00310768"/>
    <w:rsid w:val="00312B30"/>
    <w:rsid w:val="00312D80"/>
    <w:rsid w:val="0031518E"/>
    <w:rsid w:val="003153DA"/>
    <w:rsid w:val="00316025"/>
    <w:rsid w:val="003176BE"/>
    <w:rsid w:val="00317FA2"/>
    <w:rsid w:val="00320B66"/>
    <w:rsid w:val="00324EA1"/>
    <w:rsid w:val="003372C6"/>
    <w:rsid w:val="00337CDB"/>
    <w:rsid w:val="00337CF1"/>
    <w:rsid w:val="00343D69"/>
    <w:rsid w:val="00344BB9"/>
    <w:rsid w:val="003458FB"/>
    <w:rsid w:val="0034744D"/>
    <w:rsid w:val="00347F4D"/>
    <w:rsid w:val="003510D1"/>
    <w:rsid w:val="00355278"/>
    <w:rsid w:val="0036051E"/>
    <w:rsid w:val="00361325"/>
    <w:rsid w:val="00362634"/>
    <w:rsid w:val="00362B96"/>
    <w:rsid w:val="00362FFE"/>
    <w:rsid w:val="00363273"/>
    <w:rsid w:val="00363502"/>
    <w:rsid w:val="00364D70"/>
    <w:rsid w:val="003660C6"/>
    <w:rsid w:val="00371787"/>
    <w:rsid w:val="0037190D"/>
    <w:rsid w:val="00372D01"/>
    <w:rsid w:val="00373D26"/>
    <w:rsid w:val="003747A4"/>
    <w:rsid w:val="00375023"/>
    <w:rsid w:val="00376195"/>
    <w:rsid w:val="00376332"/>
    <w:rsid w:val="00376D13"/>
    <w:rsid w:val="00377F32"/>
    <w:rsid w:val="0038029E"/>
    <w:rsid w:val="00380FBA"/>
    <w:rsid w:val="00381C72"/>
    <w:rsid w:val="00381DE0"/>
    <w:rsid w:val="003833BD"/>
    <w:rsid w:val="0038384E"/>
    <w:rsid w:val="00385135"/>
    <w:rsid w:val="003859B1"/>
    <w:rsid w:val="00387946"/>
    <w:rsid w:val="0039047F"/>
    <w:rsid w:val="00390BFB"/>
    <w:rsid w:val="003914C6"/>
    <w:rsid w:val="003921FB"/>
    <w:rsid w:val="003925BD"/>
    <w:rsid w:val="003938F0"/>
    <w:rsid w:val="0039497A"/>
    <w:rsid w:val="00396AE4"/>
    <w:rsid w:val="00397008"/>
    <w:rsid w:val="003A28F8"/>
    <w:rsid w:val="003A37C0"/>
    <w:rsid w:val="003A3BD7"/>
    <w:rsid w:val="003A4B29"/>
    <w:rsid w:val="003A5811"/>
    <w:rsid w:val="003A5E4B"/>
    <w:rsid w:val="003A64E5"/>
    <w:rsid w:val="003A65C4"/>
    <w:rsid w:val="003B1F7E"/>
    <w:rsid w:val="003B3255"/>
    <w:rsid w:val="003B429E"/>
    <w:rsid w:val="003B4D2C"/>
    <w:rsid w:val="003C027F"/>
    <w:rsid w:val="003C18AE"/>
    <w:rsid w:val="003C2965"/>
    <w:rsid w:val="003C2F6A"/>
    <w:rsid w:val="003C5005"/>
    <w:rsid w:val="003C552E"/>
    <w:rsid w:val="003C5897"/>
    <w:rsid w:val="003C6EF3"/>
    <w:rsid w:val="003D1DE7"/>
    <w:rsid w:val="003D408B"/>
    <w:rsid w:val="003D4A47"/>
    <w:rsid w:val="003D6062"/>
    <w:rsid w:val="003D7AB6"/>
    <w:rsid w:val="003E01A1"/>
    <w:rsid w:val="003E2008"/>
    <w:rsid w:val="003E3D7C"/>
    <w:rsid w:val="003E54BA"/>
    <w:rsid w:val="003E7256"/>
    <w:rsid w:val="003F0331"/>
    <w:rsid w:val="003F125F"/>
    <w:rsid w:val="003F24C4"/>
    <w:rsid w:val="003F35CF"/>
    <w:rsid w:val="003F42D2"/>
    <w:rsid w:val="003F5E4D"/>
    <w:rsid w:val="003F73AB"/>
    <w:rsid w:val="003F749B"/>
    <w:rsid w:val="00402643"/>
    <w:rsid w:val="00403EE1"/>
    <w:rsid w:val="00404778"/>
    <w:rsid w:val="0040569B"/>
    <w:rsid w:val="00405B73"/>
    <w:rsid w:val="00405CE9"/>
    <w:rsid w:val="00412403"/>
    <w:rsid w:val="0041397D"/>
    <w:rsid w:val="00413BD4"/>
    <w:rsid w:val="00414325"/>
    <w:rsid w:val="0041499E"/>
    <w:rsid w:val="00414F80"/>
    <w:rsid w:val="00417760"/>
    <w:rsid w:val="00417839"/>
    <w:rsid w:val="00422928"/>
    <w:rsid w:val="004245ED"/>
    <w:rsid w:val="004247F1"/>
    <w:rsid w:val="00426E3D"/>
    <w:rsid w:val="00427292"/>
    <w:rsid w:val="00430402"/>
    <w:rsid w:val="004318B8"/>
    <w:rsid w:val="00433D63"/>
    <w:rsid w:val="004355E7"/>
    <w:rsid w:val="00436089"/>
    <w:rsid w:val="00436AD3"/>
    <w:rsid w:val="00437F08"/>
    <w:rsid w:val="00440B5A"/>
    <w:rsid w:val="00441344"/>
    <w:rsid w:val="0044205D"/>
    <w:rsid w:val="004468E5"/>
    <w:rsid w:val="00447577"/>
    <w:rsid w:val="0045181C"/>
    <w:rsid w:val="00451A59"/>
    <w:rsid w:val="004533EC"/>
    <w:rsid w:val="0045506F"/>
    <w:rsid w:val="00456646"/>
    <w:rsid w:val="00461B36"/>
    <w:rsid w:val="00462542"/>
    <w:rsid w:val="00462DD3"/>
    <w:rsid w:val="0046340A"/>
    <w:rsid w:val="00467218"/>
    <w:rsid w:val="00470BC9"/>
    <w:rsid w:val="00471358"/>
    <w:rsid w:val="00474150"/>
    <w:rsid w:val="00474F67"/>
    <w:rsid w:val="00475805"/>
    <w:rsid w:val="00482A15"/>
    <w:rsid w:val="00483815"/>
    <w:rsid w:val="0048527E"/>
    <w:rsid w:val="0048708D"/>
    <w:rsid w:val="00487B37"/>
    <w:rsid w:val="004911EA"/>
    <w:rsid w:val="00491557"/>
    <w:rsid w:val="00491BE1"/>
    <w:rsid w:val="00492E2E"/>
    <w:rsid w:val="004941F7"/>
    <w:rsid w:val="004946F6"/>
    <w:rsid w:val="004952D7"/>
    <w:rsid w:val="004955E6"/>
    <w:rsid w:val="004A0D54"/>
    <w:rsid w:val="004A1185"/>
    <w:rsid w:val="004A6A88"/>
    <w:rsid w:val="004A77F9"/>
    <w:rsid w:val="004B00F9"/>
    <w:rsid w:val="004B0990"/>
    <w:rsid w:val="004B0F34"/>
    <w:rsid w:val="004B3304"/>
    <w:rsid w:val="004B3362"/>
    <w:rsid w:val="004B4821"/>
    <w:rsid w:val="004B4BBB"/>
    <w:rsid w:val="004B660C"/>
    <w:rsid w:val="004B7AA0"/>
    <w:rsid w:val="004C0C95"/>
    <w:rsid w:val="004C12A8"/>
    <w:rsid w:val="004C3938"/>
    <w:rsid w:val="004D1F06"/>
    <w:rsid w:val="004D2C78"/>
    <w:rsid w:val="004D3324"/>
    <w:rsid w:val="004D4910"/>
    <w:rsid w:val="004D625C"/>
    <w:rsid w:val="004E4587"/>
    <w:rsid w:val="004E5894"/>
    <w:rsid w:val="004E753A"/>
    <w:rsid w:val="004E7587"/>
    <w:rsid w:val="004E7962"/>
    <w:rsid w:val="004E79D6"/>
    <w:rsid w:val="004F3183"/>
    <w:rsid w:val="004F4257"/>
    <w:rsid w:val="004F6DE9"/>
    <w:rsid w:val="004F7B16"/>
    <w:rsid w:val="0050134A"/>
    <w:rsid w:val="00503931"/>
    <w:rsid w:val="005045E7"/>
    <w:rsid w:val="005055F6"/>
    <w:rsid w:val="00506D69"/>
    <w:rsid w:val="00511CA1"/>
    <w:rsid w:val="00511F84"/>
    <w:rsid w:val="005120AF"/>
    <w:rsid w:val="00513E70"/>
    <w:rsid w:val="00514DF4"/>
    <w:rsid w:val="00515BEF"/>
    <w:rsid w:val="00516B42"/>
    <w:rsid w:val="0052020F"/>
    <w:rsid w:val="005211C3"/>
    <w:rsid w:val="005212AF"/>
    <w:rsid w:val="005217F8"/>
    <w:rsid w:val="00522445"/>
    <w:rsid w:val="00523C83"/>
    <w:rsid w:val="0052617D"/>
    <w:rsid w:val="00527123"/>
    <w:rsid w:val="00530302"/>
    <w:rsid w:val="00530A3F"/>
    <w:rsid w:val="005312AC"/>
    <w:rsid w:val="00531398"/>
    <w:rsid w:val="00532BF8"/>
    <w:rsid w:val="00532C94"/>
    <w:rsid w:val="00534201"/>
    <w:rsid w:val="00536241"/>
    <w:rsid w:val="00537D35"/>
    <w:rsid w:val="00537EB4"/>
    <w:rsid w:val="0054225E"/>
    <w:rsid w:val="0054499A"/>
    <w:rsid w:val="00544C76"/>
    <w:rsid w:val="005461B1"/>
    <w:rsid w:val="0054748C"/>
    <w:rsid w:val="0055022D"/>
    <w:rsid w:val="00551376"/>
    <w:rsid w:val="00552343"/>
    <w:rsid w:val="00553A15"/>
    <w:rsid w:val="00554503"/>
    <w:rsid w:val="005554F3"/>
    <w:rsid w:val="005562EE"/>
    <w:rsid w:val="00556926"/>
    <w:rsid w:val="00556B0E"/>
    <w:rsid w:val="00557EAC"/>
    <w:rsid w:val="005608BE"/>
    <w:rsid w:val="005609F9"/>
    <w:rsid w:val="0056213D"/>
    <w:rsid w:val="00563F7F"/>
    <w:rsid w:val="00564E8C"/>
    <w:rsid w:val="005670AC"/>
    <w:rsid w:val="00567106"/>
    <w:rsid w:val="0056757B"/>
    <w:rsid w:val="00571E28"/>
    <w:rsid w:val="00573692"/>
    <w:rsid w:val="005736AE"/>
    <w:rsid w:val="00573B26"/>
    <w:rsid w:val="00573D62"/>
    <w:rsid w:val="0058033D"/>
    <w:rsid w:val="0058238E"/>
    <w:rsid w:val="00582891"/>
    <w:rsid w:val="00583359"/>
    <w:rsid w:val="0058419B"/>
    <w:rsid w:val="00586C74"/>
    <w:rsid w:val="00586C7E"/>
    <w:rsid w:val="00594925"/>
    <w:rsid w:val="00595390"/>
    <w:rsid w:val="005A00F2"/>
    <w:rsid w:val="005A147A"/>
    <w:rsid w:val="005A2041"/>
    <w:rsid w:val="005A27D0"/>
    <w:rsid w:val="005A5374"/>
    <w:rsid w:val="005A6C09"/>
    <w:rsid w:val="005B29B8"/>
    <w:rsid w:val="005B3CD1"/>
    <w:rsid w:val="005B4F80"/>
    <w:rsid w:val="005B7132"/>
    <w:rsid w:val="005B72D1"/>
    <w:rsid w:val="005B7F42"/>
    <w:rsid w:val="005C4537"/>
    <w:rsid w:val="005C4709"/>
    <w:rsid w:val="005D00A9"/>
    <w:rsid w:val="005D0202"/>
    <w:rsid w:val="005D0A81"/>
    <w:rsid w:val="005D2862"/>
    <w:rsid w:val="005D2D7B"/>
    <w:rsid w:val="005D2E3E"/>
    <w:rsid w:val="005D57F2"/>
    <w:rsid w:val="005D6811"/>
    <w:rsid w:val="005E20B2"/>
    <w:rsid w:val="005E2ED7"/>
    <w:rsid w:val="005E3752"/>
    <w:rsid w:val="005E4647"/>
    <w:rsid w:val="005E4B0B"/>
    <w:rsid w:val="005E5B8A"/>
    <w:rsid w:val="005E62E9"/>
    <w:rsid w:val="005E7C4F"/>
    <w:rsid w:val="005F1181"/>
    <w:rsid w:val="005F1EFD"/>
    <w:rsid w:val="005F4AFD"/>
    <w:rsid w:val="005F4B67"/>
    <w:rsid w:val="005F5118"/>
    <w:rsid w:val="005F5744"/>
    <w:rsid w:val="005F5DED"/>
    <w:rsid w:val="005F706C"/>
    <w:rsid w:val="00600BCC"/>
    <w:rsid w:val="00601007"/>
    <w:rsid w:val="00602138"/>
    <w:rsid w:val="006024C6"/>
    <w:rsid w:val="00602900"/>
    <w:rsid w:val="00603475"/>
    <w:rsid w:val="00603A97"/>
    <w:rsid w:val="00604212"/>
    <w:rsid w:val="006078DF"/>
    <w:rsid w:val="00611DAB"/>
    <w:rsid w:val="00612A7F"/>
    <w:rsid w:val="006138B2"/>
    <w:rsid w:val="006154FA"/>
    <w:rsid w:val="00615756"/>
    <w:rsid w:val="00615D0C"/>
    <w:rsid w:val="00616C1F"/>
    <w:rsid w:val="00617F4A"/>
    <w:rsid w:val="00621FF7"/>
    <w:rsid w:val="006239CD"/>
    <w:rsid w:val="00623C84"/>
    <w:rsid w:val="00624583"/>
    <w:rsid w:val="0062502A"/>
    <w:rsid w:val="006256AA"/>
    <w:rsid w:val="00627344"/>
    <w:rsid w:val="00630848"/>
    <w:rsid w:val="0063148D"/>
    <w:rsid w:val="006349C0"/>
    <w:rsid w:val="00641809"/>
    <w:rsid w:val="006418C3"/>
    <w:rsid w:val="00643295"/>
    <w:rsid w:val="00643751"/>
    <w:rsid w:val="006460C2"/>
    <w:rsid w:val="00646FCC"/>
    <w:rsid w:val="006479D7"/>
    <w:rsid w:val="00647B97"/>
    <w:rsid w:val="00647EA2"/>
    <w:rsid w:val="006557AC"/>
    <w:rsid w:val="006573C5"/>
    <w:rsid w:val="00657A69"/>
    <w:rsid w:val="006608FD"/>
    <w:rsid w:val="00660A20"/>
    <w:rsid w:val="006619A8"/>
    <w:rsid w:val="0066241C"/>
    <w:rsid w:val="00662491"/>
    <w:rsid w:val="0066281E"/>
    <w:rsid w:val="00663D74"/>
    <w:rsid w:val="00664278"/>
    <w:rsid w:val="006644E0"/>
    <w:rsid w:val="00670328"/>
    <w:rsid w:val="00672537"/>
    <w:rsid w:val="0067344B"/>
    <w:rsid w:val="006749DF"/>
    <w:rsid w:val="00674C13"/>
    <w:rsid w:val="00675488"/>
    <w:rsid w:val="00675DB7"/>
    <w:rsid w:val="0067658B"/>
    <w:rsid w:val="006807F4"/>
    <w:rsid w:val="0068293B"/>
    <w:rsid w:val="0068420E"/>
    <w:rsid w:val="00686575"/>
    <w:rsid w:val="00686F58"/>
    <w:rsid w:val="00690233"/>
    <w:rsid w:val="0069038E"/>
    <w:rsid w:val="00690ED8"/>
    <w:rsid w:val="00691C97"/>
    <w:rsid w:val="0069264F"/>
    <w:rsid w:val="00693195"/>
    <w:rsid w:val="006936C1"/>
    <w:rsid w:val="00694D1D"/>
    <w:rsid w:val="006970F4"/>
    <w:rsid w:val="0069773D"/>
    <w:rsid w:val="006A2440"/>
    <w:rsid w:val="006A3DEB"/>
    <w:rsid w:val="006A4FFB"/>
    <w:rsid w:val="006A513C"/>
    <w:rsid w:val="006A61BF"/>
    <w:rsid w:val="006A6645"/>
    <w:rsid w:val="006A688C"/>
    <w:rsid w:val="006B0C3A"/>
    <w:rsid w:val="006B161B"/>
    <w:rsid w:val="006B2932"/>
    <w:rsid w:val="006B2939"/>
    <w:rsid w:val="006B4CA1"/>
    <w:rsid w:val="006B4CD7"/>
    <w:rsid w:val="006B567C"/>
    <w:rsid w:val="006C3430"/>
    <w:rsid w:val="006C3A45"/>
    <w:rsid w:val="006C5054"/>
    <w:rsid w:val="006C5D52"/>
    <w:rsid w:val="006C6F5D"/>
    <w:rsid w:val="006D0302"/>
    <w:rsid w:val="006D1FD0"/>
    <w:rsid w:val="006D29DB"/>
    <w:rsid w:val="006D2FBA"/>
    <w:rsid w:val="006D450D"/>
    <w:rsid w:val="006E0A31"/>
    <w:rsid w:val="006E721C"/>
    <w:rsid w:val="006E7BEC"/>
    <w:rsid w:val="006F061F"/>
    <w:rsid w:val="006F06B2"/>
    <w:rsid w:val="006F1C9F"/>
    <w:rsid w:val="006F244B"/>
    <w:rsid w:val="006F2E0F"/>
    <w:rsid w:val="006F325B"/>
    <w:rsid w:val="006F4F69"/>
    <w:rsid w:val="006F61E8"/>
    <w:rsid w:val="006F68D1"/>
    <w:rsid w:val="006F7709"/>
    <w:rsid w:val="0070145E"/>
    <w:rsid w:val="00701531"/>
    <w:rsid w:val="00704678"/>
    <w:rsid w:val="0070524F"/>
    <w:rsid w:val="00705F2D"/>
    <w:rsid w:val="0070611A"/>
    <w:rsid w:val="00706D5E"/>
    <w:rsid w:val="0071169B"/>
    <w:rsid w:val="00711D3A"/>
    <w:rsid w:val="0071230B"/>
    <w:rsid w:val="00712419"/>
    <w:rsid w:val="0071467B"/>
    <w:rsid w:val="0071580F"/>
    <w:rsid w:val="00715D80"/>
    <w:rsid w:val="00717DD4"/>
    <w:rsid w:val="00721A8E"/>
    <w:rsid w:val="00722965"/>
    <w:rsid w:val="007238AB"/>
    <w:rsid w:val="00724E24"/>
    <w:rsid w:val="00725BA8"/>
    <w:rsid w:val="0072607D"/>
    <w:rsid w:val="007275E4"/>
    <w:rsid w:val="007277B9"/>
    <w:rsid w:val="00731AC5"/>
    <w:rsid w:val="0073266D"/>
    <w:rsid w:val="00735143"/>
    <w:rsid w:val="00736260"/>
    <w:rsid w:val="00741635"/>
    <w:rsid w:val="00742E76"/>
    <w:rsid w:val="0074436D"/>
    <w:rsid w:val="00744406"/>
    <w:rsid w:val="0074558D"/>
    <w:rsid w:val="00746992"/>
    <w:rsid w:val="00746A76"/>
    <w:rsid w:val="00746B4E"/>
    <w:rsid w:val="0075010A"/>
    <w:rsid w:val="0075133A"/>
    <w:rsid w:val="007515E8"/>
    <w:rsid w:val="00751DBE"/>
    <w:rsid w:val="00751EB2"/>
    <w:rsid w:val="007532AF"/>
    <w:rsid w:val="007546FC"/>
    <w:rsid w:val="007549F5"/>
    <w:rsid w:val="00754DC5"/>
    <w:rsid w:val="0075658E"/>
    <w:rsid w:val="00756BB4"/>
    <w:rsid w:val="00756D04"/>
    <w:rsid w:val="00757041"/>
    <w:rsid w:val="00767E27"/>
    <w:rsid w:val="0077043E"/>
    <w:rsid w:val="00770ED0"/>
    <w:rsid w:val="007732EC"/>
    <w:rsid w:val="007760FB"/>
    <w:rsid w:val="007810D0"/>
    <w:rsid w:val="007870AE"/>
    <w:rsid w:val="00790B1B"/>
    <w:rsid w:val="0079257C"/>
    <w:rsid w:val="00792F0E"/>
    <w:rsid w:val="00794EEB"/>
    <w:rsid w:val="00796113"/>
    <w:rsid w:val="00796BD3"/>
    <w:rsid w:val="00796E19"/>
    <w:rsid w:val="00797AF6"/>
    <w:rsid w:val="007A2B0A"/>
    <w:rsid w:val="007A2D3D"/>
    <w:rsid w:val="007A2FDF"/>
    <w:rsid w:val="007A4BA9"/>
    <w:rsid w:val="007A51E0"/>
    <w:rsid w:val="007A5442"/>
    <w:rsid w:val="007B0405"/>
    <w:rsid w:val="007B0708"/>
    <w:rsid w:val="007B13A2"/>
    <w:rsid w:val="007B1734"/>
    <w:rsid w:val="007B1BE0"/>
    <w:rsid w:val="007B2ACE"/>
    <w:rsid w:val="007B2BB6"/>
    <w:rsid w:val="007B56E0"/>
    <w:rsid w:val="007B5973"/>
    <w:rsid w:val="007B597F"/>
    <w:rsid w:val="007C166F"/>
    <w:rsid w:val="007C4C0B"/>
    <w:rsid w:val="007C6B7B"/>
    <w:rsid w:val="007D0C0D"/>
    <w:rsid w:val="007D178D"/>
    <w:rsid w:val="007D47BE"/>
    <w:rsid w:val="007D6D2F"/>
    <w:rsid w:val="007E12B6"/>
    <w:rsid w:val="007E1AC5"/>
    <w:rsid w:val="007E419B"/>
    <w:rsid w:val="007E7052"/>
    <w:rsid w:val="007F2EDF"/>
    <w:rsid w:val="007F576B"/>
    <w:rsid w:val="007F5B4F"/>
    <w:rsid w:val="007F6B89"/>
    <w:rsid w:val="007F7BE2"/>
    <w:rsid w:val="00801112"/>
    <w:rsid w:val="0080198C"/>
    <w:rsid w:val="0080389D"/>
    <w:rsid w:val="00804FC6"/>
    <w:rsid w:val="0080698A"/>
    <w:rsid w:val="00807DBB"/>
    <w:rsid w:val="0081296C"/>
    <w:rsid w:val="00816732"/>
    <w:rsid w:val="00820291"/>
    <w:rsid w:val="00820CF9"/>
    <w:rsid w:val="00821A6B"/>
    <w:rsid w:val="0082300F"/>
    <w:rsid w:val="00824144"/>
    <w:rsid w:val="008249D3"/>
    <w:rsid w:val="008276F4"/>
    <w:rsid w:val="00831F7A"/>
    <w:rsid w:val="0083246E"/>
    <w:rsid w:val="00833FB8"/>
    <w:rsid w:val="00834308"/>
    <w:rsid w:val="00836C5E"/>
    <w:rsid w:val="00841890"/>
    <w:rsid w:val="00842612"/>
    <w:rsid w:val="0084333D"/>
    <w:rsid w:val="00843C2B"/>
    <w:rsid w:val="00844412"/>
    <w:rsid w:val="0084526C"/>
    <w:rsid w:val="0085135D"/>
    <w:rsid w:val="00852085"/>
    <w:rsid w:val="008555F9"/>
    <w:rsid w:val="0085612B"/>
    <w:rsid w:val="00860023"/>
    <w:rsid w:val="0086084D"/>
    <w:rsid w:val="00861412"/>
    <w:rsid w:val="0086143B"/>
    <w:rsid w:val="0086350D"/>
    <w:rsid w:val="008651B0"/>
    <w:rsid w:val="00866924"/>
    <w:rsid w:val="00866932"/>
    <w:rsid w:val="00870A2F"/>
    <w:rsid w:val="00870B9A"/>
    <w:rsid w:val="008711CF"/>
    <w:rsid w:val="00873329"/>
    <w:rsid w:val="00883016"/>
    <w:rsid w:val="0088485F"/>
    <w:rsid w:val="00885185"/>
    <w:rsid w:val="00885721"/>
    <w:rsid w:val="008878B6"/>
    <w:rsid w:val="00890A01"/>
    <w:rsid w:val="00891B31"/>
    <w:rsid w:val="00894A2D"/>
    <w:rsid w:val="00895853"/>
    <w:rsid w:val="008969F4"/>
    <w:rsid w:val="00897895"/>
    <w:rsid w:val="00897B60"/>
    <w:rsid w:val="00897C02"/>
    <w:rsid w:val="00897D6A"/>
    <w:rsid w:val="008A0E9A"/>
    <w:rsid w:val="008A0FCA"/>
    <w:rsid w:val="008A2E24"/>
    <w:rsid w:val="008A4221"/>
    <w:rsid w:val="008A5601"/>
    <w:rsid w:val="008B4461"/>
    <w:rsid w:val="008B6C25"/>
    <w:rsid w:val="008C07B5"/>
    <w:rsid w:val="008C1728"/>
    <w:rsid w:val="008C281D"/>
    <w:rsid w:val="008C28FC"/>
    <w:rsid w:val="008C4E8D"/>
    <w:rsid w:val="008C599C"/>
    <w:rsid w:val="008D0086"/>
    <w:rsid w:val="008D1001"/>
    <w:rsid w:val="008D1BC8"/>
    <w:rsid w:val="008D2028"/>
    <w:rsid w:val="008D2DB8"/>
    <w:rsid w:val="008D3243"/>
    <w:rsid w:val="008D3827"/>
    <w:rsid w:val="008D3981"/>
    <w:rsid w:val="008D4458"/>
    <w:rsid w:val="008D5885"/>
    <w:rsid w:val="008D645C"/>
    <w:rsid w:val="008D6744"/>
    <w:rsid w:val="008E17BF"/>
    <w:rsid w:val="008E1ABF"/>
    <w:rsid w:val="008E1BBB"/>
    <w:rsid w:val="008E20A6"/>
    <w:rsid w:val="008E2347"/>
    <w:rsid w:val="008E2FB6"/>
    <w:rsid w:val="008E3487"/>
    <w:rsid w:val="008E64E2"/>
    <w:rsid w:val="008E68A0"/>
    <w:rsid w:val="008E73AC"/>
    <w:rsid w:val="008F0715"/>
    <w:rsid w:val="008F0B38"/>
    <w:rsid w:val="008F1000"/>
    <w:rsid w:val="008F1052"/>
    <w:rsid w:val="008F1DE7"/>
    <w:rsid w:val="008F2C4D"/>
    <w:rsid w:val="008F3A85"/>
    <w:rsid w:val="008F7152"/>
    <w:rsid w:val="00901B59"/>
    <w:rsid w:val="0090215F"/>
    <w:rsid w:val="009026C1"/>
    <w:rsid w:val="0090566C"/>
    <w:rsid w:val="00905DF7"/>
    <w:rsid w:val="009100E6"/>
    <w:rsid w:val="00914243"/>
    <w:rsid w:val="009151BB"/>
    <w:rsid w:val="00915915"/>
    <w:rsid w:val="00924493"/>
    <w:rsid w:val="0092485D"/>
    <w:rsid w:val="00925FE7"/>
    <w:rsid w:val="0092611F"/>
    <w:rsid w:val="00926D97"/>
    <w:rsid w:val="0093122E"/>
    <w:rsid w:val="009314E1"/>
    <w:rsid w:val="009325CB"/>
    <w:rsid w:val="00935843"/>
    <w:rsid w:val="009365C0"/>
    <w:rsid w:val="009454DF"/>
    <w:rsid w:val="009473BF"/>
    <w:rsid w:val="009475DE"/>
    <w:rsid w:val="009568BE"/>
    <w:rsid w:val="00957417"/>
    <w:rsid w:val="00957782"/>
    <w:rsid w:val="00960F3C"/>
    <w:rsid w:val="00961E95"/>
    <w:rsid w:val="00963938"/>
    <w:rsid w:val="0096422B"/>
    <w:rsid w:val="00964314"/>
    <w:rsid w:val="009647EC"/>
    <w:rsid w:val="00964A1D"/>
    <w:rsid w:val="00966E87"/>
    <w:rsid w:val="0096774C"/>
    <w:rsid w:val="00971B1D"/>
    <w:rsid w:val="0097202A"/>
    <w:rsid w:val="009728A5"/>
    <w:rsid w:val="00974D94"/>
    <w:rsid w:val="00975654"/>
    <w:rsid w:val="0098095E"/>
    <w:rsid w:val="0098215A"/>
    <w:rsid w:val="00983837"/>
    <w:rsid w:val="00984405"/>
    <w:rsid w:val="009860B5"/>
    <w:rsid w:val="0098732E"/>
    <w:rsid w:val="00990854"/>
    <w:rsid w:val="00991705"/>
    <w:rsid w:val="00993714"/>
    <w:rsid w:val="009940C0"/>
    <w:rsid w:val="00994E23"/>
    <w:rsid w:val="0099550B"/>
    <w:rsid w:val="009959E2"/>
    <w:rsid w:val="00995C75"/>
    <w:rsid w:val="00995F38"/>
    <w:rsid w:val="0099791A"/>
    <w:rsid w:val="009A0C1C"/>
    <w:rsid w:val="009A1C6D"/>
    <w:rsid w:val="009A22E8"/>
    <w:rsid w:val="009A271D"/>
    <w:rsid w:val="009A4689"/>
    <w:rsid w:val="009A607A"/>
    <w:rsid w:val="009A6430"/>
    <w:rsid w:val="009A6D71"/>
    <w:rsid w:val="009A73A9"/>
    <w:rsid w:val="009B02AA"/>
    <w:rsid w:val="009B0788"/>
    <w:rsid w:val="009B4366"/>
    <w:rsid w:val="009B43EE"/>
    <w:rsid w:val="009B5BE8"/>
    <w:rsid w:val="009B72CC"/>
    <w:rsid w:val="009C1E4E"/>
    <w:rsid w:val="009C2BEA"/>
    <w:rsid w:val="009C38FD"/>
    <w:rsid w:val="009C3D99"/>
    <w:rsid w:val="009C427C"/>
    <w:rsid w:val="009D6F59"/>
    <w:rsid w:val="009D7DBB"/>
    <w:rsid w:val="009E01CA"/>
    <w:rsid w:val="009E4062"/>
    <w:rsid w:val="009E535C"/>
    <w:rsid w:val="009E5548"/>
    <w:rsid w:val="009E6EA2"/>
    <w:rsid w:val="009F09D3"/>
    <w:rsid w:val="009F1ED9"/>
    <w:rsid w:val="009F7A98"/>
    <w:rsid w:val="00A00EF6"/>
    <w:rsid w:val="00A0383A"/>
    <w:rsid w:val="00A07F0A"/>
    <w:rsid w:val="00A1014F"/>
    <w:rsid w:val="00A10ECD"/>
    <w:rsid w:val="00A11397"/>
    <w:rsid w:val="00A118DA"/>
    <w:rsid w:val="00A11B9B"/>
    <w:rsid w:val="00A132AC"/>
    <w:rsid w:val="00A2055B"/>
    <w:rsid w:val="00A20F22"/>
    <w:rsid w:val="00A20FA0"/>
    <w:rsid w:val="00A259E4"/>
    <w:rsid w:val="00A274B2"/>
    <w:rsid w:val="00A3551D"/>
    <w:rsid w:val="00A3554F"/>
    <w:rsid w:val="00A3571A"/>
    <w:rsid w:val="00A368B0"/>
    <w:rsid w:val="00A44386"/>
    <w:rsid w:val="00A45D36"/>
    <w:rsid w:val="00A462E1"/>
    <w:rsid w:val="00A46B5D"/>
    <w:rsid w:val="00A54AB2"/>
    <w:rsid w:val="00A55E61"/>
    <w:rsid w:val="00A56F0E"/>
    <w:rsid w:val="00A614C7"/>
    <w:rsid w:val="00A61BB4"/>
    <w:rsid w:val="00A61BDA"/>
    <w:rsid w:val="00A61F3B"/>
    <w:rsid w:val="00A623C3"/>
    <w:rsid w:val="00A62837"/>
    <w:rsid w:val="00A63131"/>
    <w:rsid w:val="00A64966"/>
    <w:rsid w:val="00A64F6C"/>
    <w:rsid w:val="00A66667"/>
    <w:rsid w:val="00A66F25"/>
    <w:rsid w:val="00A670DF"/>
    <w:rsid w:val="00A76830"/>
    <w:rsid w:val="00A7747D"/>
    <w:rsid w:val="00A82294"/>
    <w:rsid w:val="00A839FD"/>
    <w:rsid w:val="00A84890"/>
    <w:rsid w:val="00A849EB"/>
    <w:rsid w:val="00A8583A"/>
    <w:rsid w:val="00A85C19"/>
    <w:rsid w:val="00A862CE"/>
    <w:rsid w:val="00A8726D"/>
    <w:rsid w:val="00A91F79"/>
    <w:rsid w:val="00A937B8"/>
    <w:rsid w:val="00A93EF1"/>
    <w:rsid w:val="00A9452C"/>
    <w:rsid w:val="00AA04D7"/>
    <w:rsid w:val="00AA19A6"/>
    <w:rsid w:val="00AA3EF2"/>
    <w:rsid w:val="00AA4CE6"/>
    <w:rsid w:val="00AA58A3"/>
    <w:rsid w:val="00AA60C5"/>
    <w:rsid w:val="00AB17F8"/>
    <w:rsid w:val="00AB1B57"/>
    <w:rsid w:val="00AB2673"/>
    <w:rsid w:val="00AB26F3"/>
    <w:rsid w:val="00AB2C81"/>
    <w:rsid w:val="00AB371F"/>
    <w:rsid w:val="00AB3CE2"/>
    <w:rsid w:val="00AB4DB7"/>
    <w:rsid w:val="00AB5AF7"/>
    <w:rsid w:val="00AB7485"/>
    <w:rsid w:val="00AB7B74"/>
    <w:rsid w:val="00AB7EF9"/>
    <w:rsid w:val="00AC06E6"/>
    <w:rsid w:val="00AC0CAA"/>
    <w:rsid w:val="00AC44A3"/>
    <w:rsid w:val="00AC57CE"/>
    <w:rsid w:val="00AC611D"/>
    <w:rsid w:val="00AD28C4"/>
    <w:rsid w:val="00AD4529"/>
    <w:rsid w:val="00AD66A8"/>
    <w:rsid w:val="00AE0497"/>
    <w:rsid w:val="00AE3075"/>
    <w:rsid w:val="00AE3C2E"/>
    <w:rsid w:val="00AF050B"/>
    <w:rsid w:val="00AF2A2A"/>
    <w:rsid w:val="00AF3E72"/>
    <w:rsid w:val="00AF4917"/>
    <w:rsid w:val="00AF4C6C"/>
    <w:rsid w:val="00AF4C95"/>
    <w:rsid w:val="00AF5B5B"/>
    <w:rsid w:val="00AF77E3"/>
    <w:rsid w:val="00B007FD"/>
    <w:rsid w:val="00B014A0"/>
    <w:rsid w:val="00B01606"/>
    <w:rsid w:val="00B033A3"/>
    <w:rsid w:val="00B0424B"/>
    <w:rsid w:val="00B04380"/>
    <w:rsid w:val="00B0670F"/>
    <w:rsid w:val="00B06BD3"/>
    <w:rsid w:val="00B07ECF"/>
    <w:rsid w:val="00B10725"/>
    <w:rsid w:val="00B12ACF"/>
    <w:rsid w:val="00B13330"/>
    <w:rsid w:val="00B14349"/>
    <w:rsid w:val="00B171D7"/>
    <w:rsid w:val="00B17F9B"/>
    <w:rsid w:val="00B201A0"/>
    <w:rsid w:val="00B20534"/>
    <w:rsid w:val="00B2083D"/>
    <w:rsid w:val="00B21FD0"/>
    <w:rsid w:val="00B24549"/>
    <w:rsid w:val="00B27A63"/>
    <w:rsid w:val="00B3096F"/>
    <w:rsid w:val="00B33BA2"/>
    <w:rsid w:val="00B34C6C"/>
    <w:rsid w:val="00B37763"/>
    <w:rsid w:val="00B37B59"/>
    <w:rsid w:val="00B40273"/>
    <w:rsid w:val="00B40CD7"/>
    <w:rsid w:val="00B4250A"/>
    <w:rsid w:val="00B42737"/>
    <w:rsid w:val="00B42909"/>
    <w:rsid w:val="00B4365A"/>
    <w:rsid w:val="00B44028"/>
    <w:rsid w:val="00B4433D"/>
    <w:rsid w:val="00B46E13"/>
    <w:rsid w:val="00B47BB0"/>
    <w:rsid w:val="00B52D05"/>
    <w:rsid w:val="00B5790A"/>
    <w:rsid w:val="00B57A6D"/>
    <w:rsid w:val="00B612CA"/>
    <w:rsid w:val="00B61D9E"/>
    <w:rsid w:val="00B62415"/>
    <w:rsid w:val="00B632E1"/>
    <w:rsid w:val="00B633EA"/>
    <w:rsid w:val="00B66062"/>
    <w:rsid w:val="00B71053"/>
    <w:rsid w:val="00B715CE"/>
    <w:rsid w:val="00B72CEA"/>
    <w:rsid w:val="00B72D65"/>
    <w:rsid w:val="00B734B8"/>
    <w:rsid w:val="00B747C3"/>
    <w:rsid w:val="00B755FF"/>
    <w:rsid w:val="00B772C2"/>
    <w:rsid w:val="00B8094A"/>
    <w:rsid w:val="00B81376"/>
    <w:rsid w:val="00B83816"/>
    <w:rsid w:val="00B84025"/>
    <w:rsid w:val="00B85488"/>
    <w:rsid w:val="00B860D6"/>
    <w:rsid w:val="00B868AF"/>
    <w:rsid w:val="00B86C72"/>
    <w:rsid w:val="00B900C1"/>
    <w:rsid w:val="00B90C6D"/>
    <w:rsid w:val="00B918CD"/>
    <w:rsid w:val="00B926E8"/>
    <w:rsid w:val="00B9435A"/>
    <w:rsid w:val="00B94BCD"/>
    <w:rsid w:val="00B9578A"/>
    <w:rsid w:val="00B97556"/>
    <w:rsid w:val="00BA0651"/>
    <w:rsid w:val="00BA4173"/>
    <w:rsid w:val="00BA4372"/>
    <w:rsid w:val="00BA5DBD"/>
    <w:rsid w:val="00BA6C49"/>
    <w:rsid w:val="00BB10C8"/>
    <w:rsid w:val="00BB1C62"/>
    <w:rsid w:val="00BB1CF5"/>
    <w:rsid w:val="00BB4175"/>
    <w:rsid w:val="00BB5E4E"/>
    <w:rsid w:val="00BB60DF"/>
    <w:rsid w:val="00BB6A38"/>
    <w:rsid w:val="00BB6DA8"/>
    <w:rsid w:val="00BB720E"/>
    <w:rsid w:val="00BB7FA2"/>
    <w:rsid w:val="00BC23C9"/>
    <w:rsid w:val="00BC2E71"/>
    <w:rsid w:val="00BC3FE5"/>
    <w:rsid w:val="00BC57FD"/>
    <w:rsid w:val="00BC6899"/>
    <w:rsid w:val="00BC68CE"/>
    <w:rsid w:val="00BC7344"/>
    <w:rsid w:val="00BD04C0"/>
    <w:rsid w:val="00BD0B69"/>
    <w:rsid w:val="00BD1F2B"/>
    <w:rsid w:val="00BD37DF"/>
    <w:rsid w:val="00BD42C6"/>
    <w:rsid w:val="00BD44D3"/>
    <w:rsid w:val="00BD56B5"/>
    <w:rsid w:val="00BD5BFD"/>
    <w:rsid w:val="00BE047B"/>
    <w:rsid w:val="00BE2810"/>
    <w:rsid w:val="00BE2ACA"/>
    <w:rsid w:val="00BE580C"/>
    <w:rsid w:val="00BE78AF"/>
    <w:rsid w:val="00BF075A"/>
    <w:rsid w:val="00BF12A3"/>
    <w:rsid w:val="00BF1A27"/>
    <w:rsid w:val="00BF1CFB"/>
    <w:rsid w:val="00BF348F"/>
    <w:rsid w:val="00C00276"/>
    <w:rsid w:val="00C01AA6"/>
    <w:rsid w:val="00C0443F"/>
    <w:rsid w:val="00C0574D"/>
    <w:rsid w:val="00C06FEB"/>
    <w:rsid w:val="00C10A1E"/>
    <w:rsid w:val="00C11515"/>
    <w:rsid w:val="00C11594"/>
    <w:rsid w:val="00C17974"/>
    <w:rsid w:val="00C25310"/>
    <w:rsid w:val="00C2558F"/>
    <w:rsid w:val="00C25F23"/>
    <w:rsid w:val="00C27C74"/>
    <w:rsid w:val="00C3078F"/>
    <w:rsid w:val="00C36F0A"/>
    <w:rsid w:val="00C377F0"/>
    <w:rsid w:val="00C422FC"/>
    <w:rsid w:val="00C42508"/>
    <w:rsid w:val="00C43B6A"/>
    <w:rsid w:val="00C43C7F"/>
    <w:rsid w:val="00C47496"/>
    <w:rsid w:val="00C52F27"/>
    <w:rsid w:val="00C54394"/>
    <w:rsid w:val="00C5508A"/>
    <w:rsid w:val="00C562AF"/>
    <w:rsid w:val="00C57CB6"/>
    <w:rsid w:val="00C57F69"/>
    <w:rsid w:val="00C6006E"/>
    <w:rsid w:val="00C6484A"/>
    <w:rsid w:val="00C659BB"/>
    <w:rsid w:val="00C6794F"/>
    <w:rsid w:val="00C71C5B"/>
    <w:rsid w:val="00C75AA8"/>
    <w:rsid w:val="00C77A7D"/>
    <w:rsid w:val="00C77C96"/>
    <w:rsid w:val="00C80393"/>
    <w:rsid w:val="00C809AF"/>
    <w:rsid w:val="00C86641"/>
    <w:rsid w:val="00C868F8"/>
    <w:rsid w:val="00C86A11"/>
    <w:rsid w:val="00C86B5C"/>
    <w:rsid w:val="00C870AF"/>
    <w:rsid w:val="00C87273"/>
    <w:rsid w:val="00C8762F"/>
    <w:rsid w:val="00C879E5"/>
    <w:rsid w:val="00C87F4F"/>
    <w:rsid w:val="00C92DB4"/>
    <w:rsid w:val="00C933B3"/>
    <w:rsid w:val="00C96A11"/>
    <w:rsid w:val="00CA0D64"/>
    <w:rsid w:val="00CA2AE7"/>
    <w:rsid w:val="00CA2FE0"/>
    <w:rsid w:val="00CA3ED9"/>
    <w:rsid w:val="00CA4F46"/>
    <w:rsid w:val="00CA53D9"/>
    <w:rsid w:val="00CA62E2"/>
    <w:rsid w:val="00CB021D"/>
    <w:rsid w:val="00CB02B8"/>
    <w:rsid w:val="00CB0EBB"/>
    <w:rsid w:val="00CB14A0"/>
    <w:rsid w:val="00CB29FD"/>
    <w:rsid w:val="00CB34A2"/>
    <w:rsid w:val="00CB52BB"/>
    <w:rsid w:val="00CB5581"/>
    <w:rsid w:val="00CB5AC8"/>
    <w:rsid w:val="00CB6152"/>
    <w:rsid w:val="00CB7555"/>
    <w:rsid w:val="00CB7ACD"/>
    <w:rsid w:val="00CB7F09"/>
    <w:rsid w:val="00CC18BA"/>
    <w:rsid w:val="00CC5EC8"/>
    <w:rsid w:val="00CC7547"/>
    <w:rsid w:val="00CD285B"/>
    <w:rsid w:val="00CD5826"/>
    <w:rsid w:val="00CD6130"/>
    <w:rsid w:val="00CE2D25"/>
    <w:rsid w:val="00CE49D4"/>
    <w:rsid w:val="00CE50ED"/>
    <w:rsid w:val="00CE52C1"/>
    <w:rsid w:val="00CE6E48"/>
    <w:rsid w:val="00CE7143"/>
    <w:rsid w:val="00CE7B0E"/>
    <w:rsid w:val="00CF55AB"/>
    <w:rsid w:val="00CF5A83"/>
    <w:rsid w:val="00D00C91"/>
    <w:rsid w:val="00D02DA3"/>
    <w:rsid w:val="00D1059D"/>
    <w:rsid w:val="00D11DCB"/>
    <w:rsid w:val="00D1444E"/>
    <w:rsid w:val="00D158B6"/>
    <w:rsid w:val="00D17124"/>
    <w:rsid w:val="00D2065E"/>
    <w:rsid w:val="00D21FB7"/>
    <w:rsid w:val="00D22D82"/>
    <w:rsid w:val="00D25908"/>
    <w:rsid w:val="00D3061F"/>
    <w:rsid w:val="00D31FD1"/>
    <w:rsid w:val="00D3322D"/>
    <w:rsid w:val="00D376FE"/>
    <w:rsid w:val="00D37F83"/>
    <w:rsid w:val="00D416F0"/>
    <w:rsid w:val="00D4213C"/>
    <w:rsid w:val="00D45909"/>
    <w:rsid w:val="00D470F5"/>
    <w:rsid w:val="00D50754"/>
    <w:rsid w:val="00D52CC5"/>
    <w:rsid w:val="00D55D52"/>
    <w:rsid w:val="00D567F2"/>
    <w:rsid w:val="00D61A86"/>
    <w:rsid w:val="00D623AC"/>
    <w:rsid w:val="00D6298F"/>
    <w:rsid w:val="00D6302B"/>
    <w:rsid w:val="00D63669"/>
    <w:rsid w:val="00D64007"/>
    <w:rsid w:val="00D66B6C"/>
    <w:rsid w:val="00D67189"/>
    <w:rsid w:val="00D678B4"/>
    <w:rsid w:val="00D7108A"/>
    <w:rsid w:val="00D71D77"/>
    <w:rsid w:val="00D71EAF"/>
    <w:rsid w:val="00D76A89"/>
    <w:rsid w:val="00D76D40"/>
    <w:rsid w:val="00D77792"/>
    <w:rsid w:val="00D815E6"/>
    <w:rsid w:val="00D81630"/>
    <w:rsid w:val="00D81E17"/>
    <w:rsid w:val="00D8243B"/>
    <w:rsid w:val="00D82CF4"/>
    <w:rsid w:val="00D83169"/>
    <w:rsid w:val="00D84DAF"/>
    <w:rsid w:val="00D858D8"/>
    <w:rsid w:val="00D87071"/>
    <w:rsid w:val="00D907F8"/>
    <w:rsid w:val="00D921DC"/>
    <w:rsid w:val="00D92834"/>
    <w:rsid w:val="00D93358"/>
    <w:rsid w:val="00D94448"/>
    <w:rsid w:val="00D94A5B"/>
    <w:rsid w:val="00D97C37"/>
    <w:rsid w:val="00DA0598"/>
    <w:rsid w:val="00DA1055"/>
    <w:rsid w:val="00DA25FA"/>
    <w:rsid w:val="00DA27F3"/>
    <w:rsid w:val="00DA36F4"/>
    <w:rsid w:val="00DA397B"/>
    <w:rsid w:val="00DA39D7"/>
    <w:rsid w:val="00DA50DF"/>
    <w:rsid w:val="00DA53EA"/>
    <w:rsid w:val="00DA5A29"/>
    <w:rsid w:val="00DA6B7B"/>
    <w:rsid w:val="00DA798E"/>
    <w:rsid w:val="00DA7BE6"/>
    <w:rsid w:val="00DB19A8"/>
    <w:rsid w:val="00DB2FE7"/>
    <w:rsid w:val="00DB5107"/>
    <w:rsid w:val="00DB5586"/>
    <w:rsid w:val="00DC199F"/>
    <w:rsid w:val="00DC3AA5"/>
    <w:rsid w:val="00DC3FFE"/>
    <w:rsid w:val="00DC5D65"/>
    <w:rsid w:val="00DD0199"/>
    <w:rsid w:val="00DD0A42"/>
    <w:rsid w:val="00DD3889"/>
    <w:rsid w:val="00DD4135"/>
    <w:rsid w:val="00DD638E"/>
    <w:rsid w:val="00DD6773"/>
    <w:rsid w:val="00DD685A"/>
    <w:rsid w:val="00DE0129"/>
    <w:rsid w:val="00DE0467"/>
    <w:rsid w:val="00DE0527"/>
    <w:rsid w:val="00DE1A50"/>
    <w:rsid w:val="00DE3E7D"/>
    <w:rsid w:val="00DE6F73"/>
    <w:rsid w:val="00DF00F0"/>
    <w:rsid w:val="00DF0A2E"/>
    <w:rsid w:val="00DF5A2C"/>
    <w:rsid w:val="00DF5F19"/>
    <w:rsid w:val="00DF62AC"/>
    <w:rsid w:val="00DF647B"/>
    <w:rsid w:val="00E053E2"/>
    <w:rsid w:val="00E12260"/>
    <w:rsid w:val="00E12835"/>
    <w:rsid w:val="00E14C30"/>
    <w:rsid w:val="00E14C3F"/>
    <w:rsid w:val="00E1535E"/>
    <w:rsid w:val="00E1736A"/>
    <w:rsid w:val="00E2088F"/>
    <w:rsid w:val="00E24BBE"/>
    <w:rsid w:val="00E24DD4"/>
    <w:rsid w:val="00E2551F"/>
    <w:rsid w:val="00E255DE"/>
    <w:rsid w:val="00E255FE"/>
    <w:rsid w:val="00E26A0C"/>
    <w:rsid w:val="00E26BBB"/>
    <w:rsid w:val="00E31521"/>
    <w:rsid w:val="00E36AF6"/>
    <w:rsid w:val="00E4054A"/>
    <w:rsid w:val="00E40F90"/>
    <w:rsid w:val="00E42981"/>
    <w:rsid w:val="00E43B23"/>
    <w:rsid w:val="00E44E8B"/>
    <w:rsid w:val="00E462D0"/>
    <w:rsid w:val="00E464A8"/>
    <w:rsid w:val="00E4683E"/>
    <w:rsid w:val="00E47035"/>
    <w:rsid w:val="00E47B6B"/>
    <w:rsid w:val="00E50199"/>
    <w:rsid w:val="00E501B8"/>
    <w:rsid w:val="00E507BA"/>
    <w:rsid w:val="00E507BC"/>
    <w:rsid w:val="00E50BF9"/>
    <w:rsid w:val="00E50E67"/>
    <w:rsid w:val="00E52908"/>
    <w:rsid w:val="00E54BEE"/>
    <w:rsid w:val="00E567EA"/>
    <w:rsid w:val="00E60282"/>
    <w:rsid w:val="00E60F37"/>
    <w:rsid w:val="00E6112D"/>
    <w:rsid w:val="00E62D2E"/>
    <w:rsid w:val="00E7161D"/>
    <w:rsid w:val="00E71CE8"/>
    <w:rsid w:val="00E74178"/>
    <w:rsid w:val="00E745C3"/>
    <w:rsid w:val="00E7480E"/>
    <w:rsid w:val="00E76247"/>
    <w:rsid w:val="00E76E35"/>
    <w:rsid w:val="00E7720A"/>
    <w:rsid w:val="00E7758E"/>
    <w:rsid w:val="00E83947"/>
    <w:rsid w:val="00E84279"/>
    <w:rsid w:val="00E849D5"/>
    <w:rsid w:val="00E8569D"/>
    <w:rsid w:val="00E87029"/>
    <w:rsid w:val="00E91EF0"/>
    <w:rsid w:val="00E92F24"/>
    <w:rsid w:val="00E94046"/>
    <w:rsid w:val="00E95787"/>
    <w:rsid w:val="00E95A07"/>
    <w:rsid w:val="00E95B19"/>
    <w:rsid w:val="00E96EB4"/>
    <w:rsid w:val="00EA0466"/>
    <w:rsid w:val="00EA0E57"/>
    <w:rsid w:val="00EA3C79"/>
    <w:rsid w:val="00EA6731"/>
    <w:rsid w:val="00EB7D52"/>
    <w:rsid w:val="00EC1F06"/>
    <w:rsid w:val="00EC36F8"/>
    <w:rsid w:val="00EC3BC4"/>
    <w:rsid w:val="00EC3D35"/>
    <w:rsid w:val="00EC6496"/>
    <w:rsid w:val="00EC6999"/>
    <w:rsid w:val="00EC6EA7"/>
    <w:rsid w:val="00EC7184"/>
    <w:rsid w:val="00EC7808"/>
    <w:rsid w:val="00ED09D9"/>
    <w:rsid w:val="00ED14CA"/>
    <w:rsid w:val="00ED185B"/>
    <w:rsid w:val="00ED3EE6"/>
    <w:rsid w:val="00ED53D2"/>
    <w:rsid w:val="00ED656A"/>
    <w:rsid w:val="00ED7335"/>
    <w:rsid w:val="00EE2219"/>
    <w:rsid w:val="00EE36BF"/>
    <w:rsid w:val="00EE42D0"/>
    <w:rsid w:val="00EE49DB"/>
    <w:rsid w:val="00EE5A0F"/>
    <w:rsid w:val="00EE61BC"/>
    <w:rsid w:val="00EF0B50"/>
    <w:rsid w:val="00EF2844"/>
    <w:rsid w:val="00EF2F06"/>
    <w:rsid w:val="00EF31F0"/>
    <w:rsid w:val="00EF47FC"/>
    <w:rsid w:val="00EF4906"/>
    <w:rsid w:val="00EF7F14"/>
    <w:rsid w:val="00F00147"/>
    <w:rsid w:val="00F0039A"/>
    <w:rsid w:val="00F00E3C"/>
    <w:rsid w:val="00F01676"/>
    <w:rsid w:val="00F0476F"/>
    <w:rsid w:val="00F04A4D"/>
    <w:rsid w:val="00F04E81"/>
    <w:rsid w:val="00F05F30"/>
    <w:rsid w:val="00F1278A"/>
    <w:rsid w:val="00F1656B"/>
    <w:rsid w:val="00F204C5"/>
    <w:rsid w:val="00F206A3"/>
    <w:rsid w:val="00F207EF"/>
    <w:rsid w:val="00F20F26"/>
    <w:rsid w:val="00F21F6B"/>
    <w:rsid w:val="00F232FB"/>
    <w:rsid w:val="00F243B7"/>
    <w:rsid w:val="00F2498B"/>
    <w:rsid w:val="00F24B76"/>
    <w:rsid w:val="00F25D35"/>
    <w:rsid w:val="00F26855"/>
    <w:rsid w:val="00F276F0"/>
    <w:rsid w:val="00F30A4A"/>
    <w:rsid w:val="00F34DB3"/>
    <w:rsid w:val="00F35133"/>
    <w:rsid w:val="00F35BA9"/>
    <w:rsid w:val="00F42894"/>
    <w:rsid w:val="00F43294"/>
    <w:rsid w:val="00F4347E"/>
    <w:rsid w:val="00F450C3"/>
    <w:rsid w:val="00F46CF4"/>
    <w:rsid w:val="00F4740A"/>
    <w:rsid w:val="00F50A52"/>
    <w:rsid w:val="00F51F67"/>
    <w:rsid w:val="00F5232A"/>
    <w:rsid w:val="00F55769"/>
    <w:rsid w:val="00F55E97"/>
    <w:rsid w:val="00F56EFC"/>
    <w:rsid w:val="00F613AF"/>
    <w:rsid w:val="00F625B5"/>
    <w:rsid w:val="00F6581C"/>
    <w:rsid w:val="00F65C2C"/>
    <w:rsid w:val="00F66D5C"/>
    <w:rsid w:val="00F66D63"/>
    <w:rsid w:val="00F7085C"/>
    <w:rsid w:val="00F71724"/>
    <w:rsid w:val="00F7258A"/>
    <w:rsid w:val="00F7325B"/>
    <w:rsid w:val="00F7338F"/>
    <w:rsid w:val="00F74DC2"/>
    <w:rsid w:val="00F76E37"/>
    <w:rsid w:val="00F77131"/>
    <w:rsid w:val="00F77EA0"/>
    <w:rsid w:val="00F80488"/>
    <w:rsid w:val="00F820C3"/>
    <w:rsid w:val="00F82CFD"/>
    <w:rsid w:val="00F8676D"/>
    <w:rsid w:val="00F86CD4"/>
    <w:rsid w:val="00F87000"/>
    <w:rsid w:val="00F8759B"/>
    <w:rsid w:val="00F90C0F"/>
    <w:rsid w:val="00F916DE"/>
    <w:rsid w:val="00F91D7D"/>
    <w:rsid w:val="00F960F5"/>
    <w:rsid w:val="00F979D6"/>
    <w:rsid w:val="00FA0753"/>
    <w:rsid w:val="00FA0D59"/>
    <w:rsid w:val="00FA6AC0"/>
    <w:rsid w:val="00FA7FAE"/>
    <w:rsid w:val="00FB095A"/>
    <w:rsid w:val="00FB13C0"/>
    <w:rsid w:val="00FB170C"/>
    <w:rsid w:val="00FB2E47"/>
    <w:rsid w:val="00FB43A8"/>
    <w:rsid w:val="00FB49CE"/>
    <w:rsid w:val="00FB5ED2"/>
    <w:rsid w:val="00FC0540"/>
    <w:rsid w:val="00FC1041"/>
    <w:rsid w:val="00FC1F33"/>
    <w:rsid w:val="00FC3954"/>
    <w:rsid w:val="00FC5B11"/>
    <w:rsid w:val="00FC751D"/>
    <w:rsid w:val="00FD04E2"/>
    <w:rsid w:val="00FD102C"/>
    <w:rsid w:val="00FD2F17"/>
    <w:rsid w:val="00FD57C2"/>
    <w:rsid w:val="00FD6F83"/>
    <w:rsid w:val="00FE2711"/>
    <w:rsid w:val="00FE37C3"/>
    <w:rsid w:val="00FE49D6"/>
    <w:rsid w:val="00FE5DDA"/>
    <w:rsid w:val="00FE63B9"/>
    <w:rsid w:val="00FE67DD"/>
    <w:rsid w:val="00FE6A4D"/>
    <w:rsid w:val="00FF1631"/>
    <w:rsid w:val="00FF3C84"/>
    <w:rsid w:val="00FF67BF"/>
    <w:rsid w:val="00FF7463"/>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3E0048"/>
  <w15:chartTrackingRefBased/>
  <w15:docId w15:val="{5EE1BDCA-095B-48B6-8285-58C43645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paragraph" w:customStyle="1" w:styleId="NoSpacing1">
    <w:name w:val="No Spacing1"/>
    <w:next w:val="NoSpacing"/>
    <w:uiPriority w:val="1"/>
    <w:qFormat/>
    <w:rsid w:val="003E3D7C"/>
    <w:rPr>
      <w:rFonts w:ascii="Calibri" w:eastAsia="Calibri" w:hAnsi="Calibri"/>
      <w:sz w:val="22"/>
      <w:szCs w:val="22"/>
    </w:rPr>
  </w:style>
  <w:style w:type="paragraph" w:styleId="NoSpacing">
    <w:name w:val="No Spacing"/>
    <w:uiPriority w:val="1"/>
    <w:qFormat/>
    <w:rsid w:val="003E3D7C"/>
    <w:pPr>
      <w:autoSpaceDE w:val="0"/>
      <w:autoSpaceDN w:val="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epkoski@firstenergycorp.com" TargetMode="External"/><Relationship Id="rId5" Type="http://schemas.openxmlformats.org/officeDocument/2006/relationships/webSettings" Target="webSettings.xml"/><Relationship Id="rId10" Type="http://schemas.openxmlformats.org/officeDocument/2006/relationships/hyperlink" Target="mailto:tgiesler@firstenergycorp.com" TargetMode="External"/><Relationship Id="rId4" Type="http://schemas.openxmlformats.org/officeDocument/2006/relationships/settings" Target="settings.xml"/><Relationship Id="rId9" Type="http://schemas.openxmlformats.org/officeDocument/2006/relationships/hyperlink" Target="mailto:deletedregularly@hush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3098</Words>
  <Characters>16853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19912</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2024-03-21T13:34:00Z</dcterms:created>
  <dcterms:modified xsi:type="dcterms:W3CDTF">2024-03-21T13:34:00Z</dcterms:modified>
</cp:coreProperties>
</file>