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92C58B6" w14:textId="77777777" w:rsidR="0026309E" w:rsidRPr="00CA2345" w:rsidRDefault="0026309E" w:rsidP="0026309E">
      <w:pPr>
        <w:tabs>
          <w:tab w:val="center" w:pos="4680"/>
        </w:tabs>
        <w:jc w:val="center"/>
        <w:rPr>
          <w:b/>
        </w:rPr>
      </w:pPr>
      <w:r w:rsidRPr="00CA2345">
        <w:rPr>
          <w:b/>
        </w:rPr>
        <w:t>BEFORE THE</w:t>
      </w:r>
    </w:p>
    <w:p w14:paraId="35544224" w14:textId="77777777" w:rsidR="0026309E" w:rsidRPr="00CA2345" w:rsidRDefault="0026309E" w:rsidP="0026309E">
      <w:pPr>
        <w:tabs>
          <w:tab w:val="center" w:pos="4680"/>
        </w:tabs>
        <w:jc w:val="both"/>
        <w:rPr>
          <w:b/>
        </w:rPr>
      </w:pPr>
      <w:r w:rsidRPr="00CA2345">
        <w:rPr>
          <w:b/>
        </w:rPr>
        <w:tab/>
        <w:t>PENNSYLVANIA PUBLIC UTILITY COMMISSION</w:t>
      </w:r>
    </w:p>
    <w:p w14:paraId="7C7A3B03" w14:textId="77777777" w:rsidR="0026309E" w:rsidRDefault="0026309E" w:rsidP="0026309E">
      <w:pPr>
        <w:tabs>
          <w:tab w:val="center" w:pos="4680"/>
        </w:tabs>
        <w:jc w:val="both"/>
      </w:pPr>
    </w:p>
    <w:p w14:paraId="7836DD6B" w14:textId="77777777" w:rsidR="0026309E" w:rsidRPr="00CA2345" w:rsidRDefault="0026309E" w:rsidP="0026309E">
      <w:pPr>
        <w:tabs>
          <w:tab w:val="center" w:pos="4680"/>
        </w:tabs>
        <w:jc w:val="both"/>
      </w:pPr>
    </w:p>
    <w:p w14:paraId="6BD95179" w14:textId="77777777" w:rsidR="0026309E" w:rsidRPr="00CA2345" w:rsidRDefault="0026309E" w:rsidP="0026309E"/>
    <w:p w14:paraId="0B34AE00" w14:textId="77777777" w:rsidR="00C85A74" w:rsidRPr="007C170C" w:rsidRDefault="00C85A74" w:rsidP="00C85A74">
      <w:pPr>
        <w:rPr>
          <w:rFonts w:eastAsia="Calibri"/>
        </w:rPr>
      </w:pPr>
      <w:bookmarkStart w:id="0" w:name="_Hlk177137294"/>
      <w:r w:rsidRPr="007C170C">
        <w:rPr>
          <w:rFonts w:eastAsia="Calibri"/>
        </w:rPr>
        <w:t>Investigation upon the Commission's motion into</w:t>
      </w:r>
      <w:r w:rsidRPr="007C170C">
        <w:rPr>
          <w:rFonts w:eastAsia="Calibri"/>
        </w:rPr>
        <w:tab/>
        <w:t>:</w:t>
      </w:r>
    </w:p>
    <w:p w14:paraId="7F03DB50" w14:textId="77777777" w:rsidR="00C85A74" w:rsidRPr="007C170C" w:rsidRDefault="00C85A74" w:rsidP="00C85A74">
      <w:pPr>
        <w:rPr>
          <w:rFonts w:eastAsia="Calibri"/>
        </w:rPr>
      </w:pPr>
      <w:r w:rsidRPr="007C170C">
        <w:rPr>
          <w:rFonts w:eastAsia="Calibri"/>
        </w:rPr>
        <w:t xml:space="preserve">matters pertaining to the proper safety of the </w:t>
      </w:r>
      <w:r w:rsidRPr="007C170C">
        <w:rPr>
          <w:rFonts w:eastAsia="Calibri"/>
        </w:rPr>
        <w:tab/>
        <w:t>:</w:t>
      </w:r>
    </w:p>
    <w:p w14:paraId="5201776F" w14:textId="77777777" w:rsidR="00C85A74" w:rsidRPr="007C170C" w:rsidRDefault="00C85A74" w:rsidP="00C85A74">
      <w:pPr>
        <w:rPr>
          <w:rFonts w:eastAsia="Calibri"/>
        </w:rPr>
      </w:pPr>
      <w:r w:rsidRPr="007C170C">
        <w:rPr>
          <w:rFonts w:eastAsia="Calibri"/>
        </w:rPr>
        <w:t xml:space="preserve">traveling public and disposition of the crossing </w:t>
      </w:r>
      <w:r w:rsidRPr="007C170C">
        <w:rPr>
          <w:rFonts w:eastAsia="Calibri"/>
        </w:rPr>
        <w:tab/>
        <w:t>:</w:t>
      </w:r>
    </w:p>
    <w:p w14:paraId="1D4FC268" w14:textId="77777777" w:rsidR="00C85A74" w:rsidRPr="007C170C" w:rsidRDefault="00C85A74" w:rsidP="00C85A74">
      <w:pPr>
        <w:rPr>
          <w:rFonts w:eastAsia="Calibri"/>
        </w:rPr>
      </w:pPr>
      <w:r w:rsidRPr="007C170C">
        <w:rPr>
          <w:rFonts w:eastAsia="Calibri"/>
        </w:rPr>
        <w:t xml:space="preserve">where State Route SR0268, crosses over a railroad </w:t>
      </w:r>
      <w:r w:rsidRPr="007C170C">
        <w:rPr>
          <w:rFonts w:eastAsia="Calibri"/>
        </w:rPr>
        <w:tab/>
        <w:t>:</w:t>
      </w:r>
      <w:r w:rsidRPr="007C170C">
        <w:rPr>
          <w:rFonts w:eastAsia="Calibri"/>
        </w:rPr>
        <w:tab/>
      </w:r>
      <w:r w:rsidRPr="007C170C">
        <w:rPr>
          <w:rFonts w:eastAsia="Calibri"/>
        </w:rPr>
        <w:tab/>
        <w:t>I-2019-3012769</w:t>
      </w:r>
    </w:p>
    <w:p w14:paraId="17E1C489" w14:textId="77777777" w:rsidR="00C85A74" w:rsidRPr="007C170C" w:rsidRDefault="00C85A74" w:rsidP="00C85A74">
      <w:pPr>
        <w:rPr>
          <w:rFonts w:eastAsia="Calibri"/>
        </w:rPr>
      </w:pPr>
      <w:r w:rsidRPr="007C170C">
        <w:rPr>
          <w:rFonts w:eastAsia="Calibri"/>
        </w:rPr>
        <w:t xml:space="preserve">tunnel formally used by Bessemer and Lake Erie </w:t>
      </w:r>
      <w:r w:rsidRPr="007C170C">
        <w:rPr>
          <w:rFonts w:eastAsia="Calibri"/>
        </w:rPr>
        <w:tab/>
        <w:t>:</w:t>
      </w:r>
    </w:p>
    <w:p w14:paraId="4B3D6A73" w14:textId="77777777" w:rsidR="00C85A74" w:rsidRPr="007C170C" w:rsidRDefault="00C85A74" w:rsidP="00C85A74">
      <w:pPr>
        <w:rPr>
          <w:rFonts w:eastAsia="Calibri"/>
        </w:rPr>
      </w:pPr>
      <w:r w:rsidRPr="007C170C">
        <w:rPr>
          <w:rFonts w:eastAsia="Calibri"/>
        </w:rPr>
        <w:t>Railroad in Fairview Township, Butler County and</w:t>
      </w:r>
      <w:r w:rsidRPr="007C170C">
        <w:rPr>
          <w:rFonts w:eastAsia="Calibri"/>
        </w:rPr>
        <w:tab/>
        <w:t>:</w:t>
      </w:r>
    </w:p>
    <w:p w14:paraId="0E299DD7" w14:textId="77777777" w:rsidR="00C85A74" w:rsidRPr="007C170C" w:rsidRDefault="00C85A74" w:rsidP="00C85A74">
      <w:pPr>
        <w:rPr>
          <w:rFonts w:eastAsia="Calibri"/>
        </w:rPr>
      </w:pPr>
      <w:r w:rsidRPr="007C170C">
        <w:rPr>
          <w:rFonts w:eastAsia="Calibri"/>
        </w:rPr>
        <w:t xml:space="preserve">where State Route SR0068 formally crosses, below </w:t>
      </w:r>
      <w:r w:rsidRPr="007C170C">
        <w:rPr>
          <w:rFonts w:eastAsia="Calibri"/>
        </w:rPr>
        <w:tab/>
        <w:t>:</w:t>
      </w:r>
    </w:p>
    <w:p w14:paraId="6D98EF55" w14:textId="77777777" w:rsidR="00C85A74" w:rsidRPr="007C170C" w:rsidRDefault="00C85A74" w:rsidP="00C85A74">
      <w:pPr>
        <w:rPr>
          <w:rFonts w:eastAsia="Calibri"/>
        </w:rPr>
      </w:pPr>
      <w:r w:rsidRPr="007C170C">
        <w:rPr>
          <w:rFonts w:eastAsia="Calibri"/>
        </w:rPr>
        <w:t xml:space="preserve">grade, the track of Bessemer and Lake Erie </w:t>
      </w:r>
      <w:r w:rsidRPr="007C170C">
        <w:rPr>
          <w:rFonts w:eastAsia="Calibri"/>
        </w:rPr>
        <w:tab/>
      </w:r>
      <w:r w:rsidRPr="007C170C">
        <w:rPr>
          <w:rFonts w:eastAsia="Calibri"/>
        </w:rPr>
        <w:tab/>
        <w:t>:</w:t>
      </w:r>
    </w:p>
    <w:p w14:paraId="1F2292DB" w14:textId="77777777" w:rsidR="00C85A74" w:rsidRPr="007C170C" w:rsidRDefault="00C85A74" w:rsidP="00C85A74">
      <w:pPr>
        <w:rPr>
          <w:rFonts w:eastAsia="Calibri"/>
        </w:rPr>
      </w:pPr>
      <w:r w:rsidRPr="007C170C">
        <w:rPr>
          <w:rFonts w:eastAsia="Calibri"/>
        </w:rPr>
        <w:t xml:space="preserve">Railroad in Brady’s Bend Township, Armstrong </w:t>
      </w:r>
      <w:r w:rsidRPr="007C170C">
        <w:rPr>
          <w:rFonts w:eastAsia="Calibri"/>
        </w:rPr>
        <w:tab/>
        <w:t>:</w:t>
      </w:r>
    </w:p>
    <w:p w14:paraId="0C68A285" w14:textId="77777777" w:rsidR="00C85A74" w:rsidRPr="007C170C" w:rsidRDefault="00C85A74" w:rsidP="00C85A74">
      <w:pPr>
        <w:rPr>
          <w:rFonts w:eastAsia="Calibri"/>
        </w:rPr>
      </w:pPr>
      <w:r w:rsidRPr="007C170C">
        <w:rPr>
          <w:rFonts w:eastAsia="Calibri"/>
        </w:rPr>
        <w:t>County</w:t>
      </w:r>
      <w:r w:rsidRPr="007C170C">
        <w:rPr>
          <w:rFonts w:eastAsia="Calibri"/>
        </w:rPr>
        <w:tab/>
      </w:r>
      <w:r w:rsidRPr="007C170C">
        <w:rPr>
          <w:rFonts w:eastAsia="Calibri"/>
        </w:rPr>
        <w:tab/>
      </w:r>
      <w:r w:rsidRPr="007C170C">
        <w:rPr>
          <w:rFonts w:eastAsia="Calibri"/>
        </w:rPr>
        <w:tab/>
      </w:r>
      <w:r w:rsidRPr="007C170C">
        <w:rPr>
          <w:rFonts w:eastAsia="Calibri"/>
        </w:rPr>
        <w:tab/>
      </w:r>
      <w:r w:rsidRPr="007C170C">
        <w:rPr>
          <w:rFonts w:eastAsia="Calibri"/>
        </w:rPr>
        <w:tab/>
      </w:r>
      <w:r w:rsidRPr="007C170C">
        <w:rPr>
          <w:rFonts w:eastAsia="Calibri"/>
        </w:rPr>
        <w:tab/>
      </w:r>
      <w:r w:rsidRPr="007C170C">
        <w:rPr>
          <w:rFonts w:eastAsia="Calibri"/>
        </w:rPr>
        <w:tab/>
        <w:t>:</w:t>
      </w:r>
    </w:p>
    <w:bookmarkEnd w:id="0"/>
    <w:p w14:paraId="209303A4" w14:textId="77777777" w:rsidR="0026309E" w:rsidRDefault="0026309E" w:rsidP="0026309E">
      <w:pPr>
        <w:tabs>
          <w:tab w:val="left" w:pos="-720"/>
          <w:tab w:val="left" w:pos="5040"/>
        </w:tabs>
        <w:suppressAutoHyphens/>
        <w:rPr>
          <w:spacing w:val="-3"/>
        </w:rPr>
      </w:pPr>
    </w:p>
    <w:p w14:paraId="05B75A63" w14:textId="77777777" w:rsidR="00810713" w:rsidRPr="00CA2345" w:rsidRDefault="00810713" w:rsidP="0026309E">
      <w:pPr>
        <w:tabs>
          <w:tab w:val="left" w:pos="-720"/>
          <w:tab w:val="left" w:pos="5040"/>
        </w:tabs>
        <w:suppressAutoHyphens/>
        <w:rPr>
          <w:spacing w:val="-3"/>
        </w:rPr>
      </w:pPr>
    </w:p>
    <w:p w14:paraId="5B96DBEF" w14:textId="77777777" w:rsidR="0026309E" w:rsidRPr="00CA2345" w:rsidRDefault="0026309E" w:rsidP="0026309E">
      <w:pPr>
        <w:tabs>
          <w:tab w:val="left" w:pos="-720"/>
          <w:tab w:val="left" w:pos="5040"/>
        </w:tabs>
        <w:suppressAutoHyphens/>
        <w:rPr>
          <w:spacing w:val="-3"/>
        </w:rPr>
      </w:pPr>
    </w:p>
    <w:p w14:paraId="45805443" w14:textId="0731167F" w:rsidR="0026309E" w:rsidRDefault="0026309E" w:rsidP="00C67461">
      <w:pPr>
        <w:tabs>
          <w:tab w:val="left" w:pos="0"/>
        </w:tabs>
        <w:jc w:val="center"/>
        <w:rPr>
          <w:b/>
          <w:u w:val="single"/>
        </w:rPr>
      </w:pPr>
      <w:r w:rsidRPr="00DD3F62">
        <w:rPr>
          <w:b/>
          <w:u w:val="single"/>
        </w:rPr>
        <w:t>ORDER</w:t>
      </w:r>
    </w:p>
    <w:p w14:paraId="764723F3" w14:textId="311D4EE8" w:rsidR="00C67461" w:rsidRPr="00DD3F62" w:rsidRDefault="00C67461" w:rsidP="00C67461">
      <w:pPr>
        <w:tabs>
          <w:tab w:val="left" w:pos="0"/>
        </w:tabs>
        <w:jc w:val="center"/>
        <w:rPr>
          <w:b/>
          <w:u w:val="single"/>
        </w:rPr>
      </w:pPr>
      <w:r>
        <w:rPr>
          <w:b/>
          <w:u w:val="single"/>
        </w:rPr>
        <w:t>ON BRIEFS AND CLOSING OF THE RECORD</w:t>
      </w:r>
    </w:p>
    <w:p w14:paraId="672D7284" w14:textId="77777777" w:rsidR="0026309E" w:rsidRPr="00CA2345" w:rsidRDefault="0026309E" w:rsidP="00DD3F62">
      <w:pPr>
        <w:spacing w:line="360" w:lineRule="auto"/>
      </w:pPr>
    </w:p>
    <w:p w14:paraId="46DA6471" w14:textId="77777777" w:rsidR="00C85A74" w:rsidRPr="00961400" w:rsidRDefault="00C85A74" w:rsidP="00C85A74">
      <w:pPr>
        <w:widowControl w:val="0"/>
        <w:spacing w:line="360" w:lineRule="auto"/>
        <w:ind w:firstLine="1440"/>
        <w:rPr>
          <w:rFonts w:ascii="CG Times" w:hAnsi="CG Times" w:cs="CG Times"/>
        </w:rPr>
      </w:pPr>
      <w:r>
        <w:rPr>
          <w:rFonts w:ascii="CG Times" w:hAnsi="CG Times" w:cs="CG Times"/>
        </w:rPr>
        <w:t xml:space="preserve">On May 29, 2024, the Commission issued a telephonic </w:t>
      </w:r>
      <w:r w:rsidRPr="00EB6BBF">
        <w:rPr>
          <w:rFonts w:ascii="CG Times" w:hAnsi="CG Times" w:cs="CG Times"/>
        </w:rPr>
        <w:t>prehearing conference</w:t>
      </w:r>
      <w:r>
        <w:rPr>
          <w:rFonts w:ascii="CG Times" w:hAnsi="CG Times" w:cs="CG Times"/>
        </w:rPr>
        <w:t xml:space="preserve"> notice, setting</w:t>
      </w:r>
      <w:r w:rsidRPr="00EB6BBF">
        <w:rPr>
          <w:rFonts w:ascii="CG Times" w:hAnsi="CG Times" w:cs="CG Times"/>
        </w:rPr>
        <w:t xml:space="preserve"> this </w:t>
      </w:r>
      <w:r>
        <w:rPr>
          <w:rFonts w:ascii="CG Times" w:hAnsi="CG Times" w:cs="CG Times"/>
        </w:rPr>
        <w:t>proceeding</w:t>
      </w:r>
      <w:r w:rsidRPr="00EB6BBF">
        <w:rPr>
          <w:rFonts w:ascii="CG Times" w:hAnsi="CG Times" w:cs="CG Times"/>
        </w:rPr>
        <w:t xml:space="preserve"> </w:t>
      </w:r>
      <w:r>
        <w:rPr>
          <w:rFonts w:ascii="CG Times" w:hAnsi="CG Times" w:cs="CG Times"/>
        </w:rPr>
        <w:t xml:space="preserve">for a prehearing conference on July 2, </w:t>
      </w:r>
      <w:proofErr w:type="gramStart"/>
      <w:r>
        <w:rPr>
          <w:rFonts w:ascii="CG Times" w:hAnsi="CG Times" w:cs="CG Times"/>
        </w:rPr>
        <w:t>2024</w:t>
      </w:r>
      <w:proofErr w:type="gramEnd"/>
      <w:r w:rsidRPr="00EB6BBF">
        <w:rPr>
          <w:rFonts w:ascii="CG Times" w:hAnsi="CG Times" w:cs="CG Times"/>
        </w:rPr>
        <w:t xml:space="preserve"> at 1</w:t>
      </w:r>
      <w:r>
        <w:rPr>
          <w:rFonts w:ascii="CG Times" w:hAnsi="CG Times" w:cs="CG Times"/>
        </w:rPr>
        <w:t>0</w:t>
      </w:r>
      <w:r w:rsidRPr="00EB6BBF">
        <w:rPr>
          <w:rFonts w:ascii="CG Times" w:hAnsi="CG Times" w:cs="CG Times"/>
        </w:rPr>
        <w:t xml:space="preserve">:00 </w:t>
      </w:r>
      <w:r>
        <w:rPr>
          <w:rFonts w:ascii="CG Times" w:hAnsi="CG Times" w:cs="CG Times"/>
        </w:rPr>
        <w:t>a</w:t>
      </w:r>
      <w:r w:rsidRPr="00EB6BBF">
        <w:rPr>
          <w:rFonts w:ascii="CG Times" w:hAnsi="CG Times" w:cs="CG Times"/>
        </w:rPr>
        <w:t xml:space="preserve">.m.  </w:t>
      </w:r>
      <w:r>
        <w:rPr>
          <w:rFonts w:ascii="CG Times" w:hAnsi="CG Times" w:cs="CG Times"/>
        </w:rPr>
        <w:t>Also on May 29, 2024, and i</w:t>
      </w:r>
      <w:r w:rsidRPr="00EB6BBF">
        <w:rPr>
          <w:rFonts w:ascii="CG Times" w:hAnsi="CG Times" w:cs="CG Times"/>
        </w:rPr>
        <w:t xml:space="preserve">n accordance with the provisions of 66 </w:t>
      </w:r>
      <w:proofErr w:type="spellStart"/>
      <w:r w:rsidRPr="00EB6BBF">
        <w:rPr>
          <w:rFonts w:ascii="CG Times" w:hAnsi="CG Times" w:cs="CG Times"/>
        </w:rPr>
        <w:t>Pa.C.S</w:t>
      </w:r>
      <w:proofErr w:type="spellEnd"/>
      <w:r w:rsidRPr="00EB6BBF">
        <w:rPr>
          <w:rFonts w:ascii="CG Times" w:hAnsi="CG Times" w:cs="CG Times"/>
        </w:rPr>
        <w:t xml:space="preserve">. §333 and 52 </w:t>
      </w:r>
      <w:proofErr w:type="spellStart"/>
      <w:proofErr w:type="gramStart"/>
      <w:r w:rsidRPr="00EB6BBF">
        <w:rPr>
          <w:rFonts w:ascii="CG Times" w:hAnsi="CG Times" w:cs="CG Times"/>
        </w:rPr>
        <w:t>Pa.Code</w:t>
      </w:r>
      <w:proofErr w:type="spellEnd"/>
      <w:proofErr w:type="gramEnd"/>
      <w:r w:rsidRPr="00EB6BBF">
        <w:rPr>
          <w:rFonts w:ascii="CG Times" w:hAnsi="CG Times" w:cs="CG Times"/>
        </w:rPr>
        <w:t xml:space="preserve"> §§5.221-5.22</w:t>
      </w:r>
      <w:r>
        <w:rPr>
          <w:rFonts w:ascii="CG Times" w:hAnsi="CG Times" w:cs="CG Times"/>
        </w:rPr>
        <w:t>3</w:t>
      </w:r>
      <w:r w:rsidRPr="00EB6BBF">
        <w:rPr>
          <w:rFonts w:ascii="CG Times" w:hAnsi="CG Times" w:cs="CG Times"/>
        </w:rPr>
        <w:t>, a prehearing conference order was issued</w:t>
      </w:r>
      <w:r>
        <w:rPr>
          <w:rFonts w:ascii="CG Times" w:hAnsi="CG Times" w:cs="CG Times"/>
        </w:rPr>
        <w:t xml:space="preserve"> outlining various procedural matters to be addressed at the prehearing conference.</w:t>
      </w:r>
    </w:p>
    <w:p w14:paraId="434C274E" w14:textId="77777777" w:rsidR="00C85A74" w:rsidRDefault="00C85A74" w:rsidP="00C85A74">
      <w:pPr>
        <w:widowControl w:val="0"/>
        <w:spacing w:line="360" w:lineRule="auto"/>
        <w:ind w:firstLine="1440"/>
        <w:rPr>
          <w:rFonts w:ascii="CG Times" w:hAnsi="CG Times" w:cs="CG Times"/>
        </w:rPr>
      </w:pPr>
    </w:p>
    <w:p w14:paraId="5B8CB686" w14:textId="77777777" w:rsidR="00C85A74" w:rsidRDefault="00C85A74" w:rsidP="00C85A74">
      <w:pPr>
        <w:widowControl w:val="0"/>
        <w:spacing w:line="360" w:lineRule="auto"/>
        <w:ind w:firstLine="1440"/>
        <w:rPr>
          <w:rFonts w:ascii="CG Times" w:hAnsi="CG Times" w:cs="CG Times"/>
        </w:rPr>
      </w:pPr>
      <w:r>
        <w:rPr>
          <w:rFonts w:ascii="CG Times" w:hAnsi="CG Times" w:cs="CG Times"/>
        </w:rPr>
        <w:t xml:space="preserve">In response to the prehearing conference order, Bessemer and Lake Erie Railroad Company (B&amp;LE), Pennsylvania Commonwealth Department of Transportation (PennDOT), and the Pennsylvania Public Utility Commission’s Bureau of Investigation and Enforcement (I&amp;E) submitted prehearing memoranda outlining their respective positions on procedural matters.  The prehearing conference convened on July 2, </w:t>
      </w:r>
      <w:proofErr w:type="gramStart"/>
      <w:r>
        <w:rPr>
          <w:rFonts w:ascii="CG Times" w:hAnsi="CG Times" w:cs="CG Times"/>
        </w:rPr>
        <w:t>2024</w:t>
      </w:r>
      <w:proofErr w:type="gramEnd"/>
      <w:r>
        <w:rPr>
          <w:rFonts w:ascii="CG Times" w:hAnsi="CG Times" w:cs="CG Times"/>
        </w:rPr>
        <w:t xml:space="preserve"> as scheduled.  The following counsel appeared on the behalf of the parties:</w:t>
      </w:r>
    </w:p>
    <w:p w14:paraId="40430EB1" w14:textId="77777777" w:rsidR="00C85A74" w:rsidRPr="00982C72" w:rsidRDefault="00C85A74" w:rsidP="00C85A74">
      <w:pPr>
        <w:widowControl w:val="0"/>
        <w:ind w:left="1440"/>
      </w:pPr>
    </w:p>
    <w:p w14:paraId="6797783C" w14:textId="77777777" w:rsidR="00C85A74" w:rsidRPr="00982C72" w:rsidRDefault="00C85A74" w:rsidP="00C85A74">
      <w:pPr>
        <w:widowControl w:val="0"/>
        <w:ind w:left="1440"/>
      </w:pPr>
      <w:r>
        <w:t>John M. Steidle.</w:t>
      </w:r>
      <w:r w:rsidRPr="00982C72">
        <w:t xml:space="preserve"> …</w:t>
      </w:r>
      <w:r>
        <w:t>.</w:t>
      </w:r>
      <w:r w:rsidRPr="00982C72">
        <w:t>…….</w:t>
      </w:r>
      <w:bookmarkStart w:id="1" w:name="_Hlk514061846"/>
      <w:r w:rsidRPr="00982C72">
        <w:t xml:space="preserve">..  </w:t>
      </w:r>
      <w:bookmarkEnd w:id="1"/>
      <w:r>
        <w:t>B&amp;LE</w:t>
      </w:r>
    </w:p>
    <w:p w14:paraId="38EC9121" w14:textId="77777777" w:rsidR="00C85A74" w:rsidRPr="00982C72" w:rsidRDefault="00C85A74" w:rsidP="00C85A74">
      <w:pPr>
        <w:widowControl w:val="0"/>
        <w:ind w:left="1440"/>
      </w:pPr>
    </w:p>
    <w:p w14:paraId="66887813" w14:textId="77777777" w:rsidR="00C85A74" w:rsidRPr="00982C72" w:rsidRDefault="00C85A74" w:rsidP="00C85A74">
      <w:pPr>
        <w:widowControl w:val="0"/>
        <w:ind w:left="1440"/>
      </w:pPr>
      <w:r>
        <w:t>Leah Jo Bobula</w:t>
      </w:r>
      <w:r w:rsidRPr="00982C72">
        <w:t xml:space="preserve"> ……</w:t>
      </w:r>
      <w:r>
        <w:t>.</w:t>
      </w:r>
      <w:r w:rsidRPr="00982C72">
        <w:t>…</w:t>
      </w:r>
      <w:r>
        <w:t xml:space="preserve">   PennDOT</w:t>
      </w:r>
    </w:p>
    <w:p w14:paraId="1C736FFC" w14:textId="77777777" w:rsidR="00C85A74" w:rsidRPr="00982C72" w:rsidRDefault="00C85A74" w:rsidP="00C85A74">
      <w:pPr>
        <w:widowControl w:val="0"/>
        <w:ind w:left="1440"/>
      </w:pPr>
    </w:p>
    <w:p w14:paraId="139BCC6C" w14:textId="77777777" w:rsidR="00C85A74" w:rsidRDefault="00C85A74" w:rsidP="00C85A74">
      <w:pPr>
        <w:widowControl w:val="0"/>
        <w:ind w:left="1440"/>
      </w:pPr>
      <w:r>
        <w:t>Garrett A. Rine</w:t>
      </w:r>
      <w:r w:rsidRPr="00982C72">
        <w:t xml:space="preserve"> …</w:t>
      </w:r>
      <w:proofErr w:type="gramStart"/>
      <w:r w:rsidRPr="00982C72">
        <w:t>…</w:t>
      </w:r>
      <w:r>
        <w:t>..</w:t>
      </w:r>
      <w:proofErr w:type="gramEnd"/>
      <w:r w:rsidRPr="00982C72">
        <w:t>…</w:t>
      </w:r>
      <w:r>
        <w:t>.</w:t>
      </w:r>
      <w:r w:rsidRPr="00982C72">
        <w:t>....</w:t>
      </w:r>
      <w:r>
        <w:t xml:space="preserve">   I&amp;E</w:t>
      </w:r>
    </w:p>
    <w:p w14:paraId="5AFE15B6" w14:textId="77777777" w:rsidR="00C85A74" w:rsidRDefault="00C85A74" w:rsidP="00C85A74">
      <w:pPr>
        <w:widowControl w:val="0"/>
        <w:ind w:left="1440"/>
      </w:pPr>
    </w:p>
    <w:p w14:paraId="6093D616" w14:textId="77777777" w:rsidR="00C85A74" w:rsidRDefault="00C85A74" w:rsidP="00C85A74">
      <w:pPr>
        <w:widowControl w:val="0"/>
        <w:ind w:left="1440"/>
      </w:pPr>
      <w:r>
        <w:lastRenderedPageBreak/>
        <w:t>Anthony Cosgrove</w:t>
      </w:r>
      <w:r w:rsidRPr="00982C72">
        <w:t xml:space="preserve"> ……</w:t>
      </w:r>
      <w:r>
        <w:t>.</w:t>
      </w:r>
      <w:r w:rsidRPr="00982C72">
        <w:t>…</w:t>
      </w:r>
      <w:r>
        <w:t xml:space="preserve">   Fairview Township</w:t>
      </w:r>
    </w:p>
    <w:p w14:paraId="2288E435" w14:textId="77777777" w:rsidR="00C85A74" w:rsidRDefault="00C85A74" w:rsidP="00C85A74">
      <w:pPr>
        <w:widowControl w:val="0"/>
        <w:ind w:left="1440"/>
      </w:pPr>
    </w:p>
    <w:p w14:paraId="78A79367" w14:textId="77777777" w:rsidR="00C85A74" w:rsidRPr="00982C72" w:rsidRDefault="00C85A74" w:rsidP="00C85A74">
      <w:pPr>
        <w:widowControl w:val="0"/>
        <w:ind w:left="1440"/>
      </w:pPr>
      <w:r>
        <w:t xml:space="preserve">Julie Graham </w:t>
      </w:r>
      <w:r w:rsidRPr="00982C72">
        <w:t>……</w:t>
      </w:r>
      <w:r>
        <w:t>.</w:t>
      </w:r>
      <w:r w:rsidRPr="00982C72">
        <w:t>…</w:t>
      </w:r>
      <w:r>
        <w:t xml:space="preserve">  Butler County</w:t>
      </w:r>
    </w:p>
    <w:p w14:paraId="4FCEC191" w14:textId="77777777" w:rsidR="00C85A74" w:rsidRDefault="00C85A74" w:rsidP="00C85A74">
      <w:pPr>
        <w:widowControl w:val="0"/>
        <w:ind w:left="1440"/>
      </w:pPr>
    </w:p>
    <w:p w14:paraId="67259621" w14:textId="77777777" w:rsidR="006B3DA9" w:rsidRDefault="00C85A74" w:rsidP="006B3DA9">
      <w:pPr>
        <w:widowControl w:val="0"/>
        <w:spacing w:line="360" w:lineRule="auto"/>
        <w:ind w:firstLine="1440"/>
      </w:pPr>
      <w:r>
        <w:t xml:space="preserve">During the prehearing conference, Mr. Cosgrove and Ms. Graham respectively stated that Fairview Township and Butler County only intended to participate in this proceeding in an observational capacity.  Additionally, Kay Barnhart appeared at the prehearing conference, representing herself.  Ms. Barnhart also stated that she was only participating in an observational capacity. </w:t>
      </w:r>
      <w:r w:rsidR="006B3DA9">
        <w:t xml:space="preserve"> </w:t>
      </w:r>
    </w:p>
    <w:p w14:paraId="3DFCF98C" w14:textId="77777777" w:rsidR="006B3DA9" w:rsidRDefault="006B3DA9" w:rsidP="006B3DA9">
      <w:pPr>
        <w:widowControl w:val="0"/>
        <w:spacing w:line="360" w:lineRule="auto"/>
        <w:ind w:firstLine="1440"/>
      </w:pPr>
    </w:p>
    <w:p w14:paraId="13B96F83" w14:textId="27FD5D9C" w:rsidR="00C85A74" w:rsidRDefault="006B3DA9" w:rsidP="006B3DA9">
      <w:pPr>
        <w:widowControl w:val="0"/>
        <w:spacing w:line="360" w:lineRule="auto"/>
        <w:ind w:firstLine="1440"/>
      </w:pPr>
      <w:bookmarkStart w:id="2" w:name="_Hlk177137905"/>
      <w:r>
        <w:t>On July 9, 2024, a Scheduling Order was issued, memorializing matters discussed during the prehearing conference and setting forth the procedural rules for this proceeding, including the following schedule:</w:t>
      </w:r>
      <w:r w:rsidR="00C85A74">
        <w:t xml:space="preserve"> </w:t>
      </w:r>
      <w:bookmarkStart w:id="3" w:name="_Hlk517871611"/>
    </w:p>
    <w:p w14:paraId="4BF7B939" w14:textId="77777777" w:rsidR="00C85A74" w:rsidRDefault="00C85A74" w:rsidP="00C85A74">
      <w:pPr>
        <w:ind w:firstLine="1440"/>
      </w:pPr>
    </w:p>
    <w:tbl>
      <w:tblPr>
        <w:tblStyle w:val="TableGrid"/>
        <w:tblW w:w="0" w:type="auto"/>
        <w:tblInd w:w="1440" w:type="dxa"/>
        <w:tblLook w:val="04A0" w:firstRow="1" w:lastRow="0" w:firstColumn="1" w:lastColumn="0" w:noHBand="0" w:noVBand="1"/>
      </w:tblPr>
      <w:tblGrid>
        <w:gridCol w:w="3690"/>
        <w:gridCol w:w="3150"/>
      </w:tblGrid>
      <w:tr w:rsidR="00C85A74" w:rsidRPr="009065F4" w14:paraId="12978A85" w14:textId="77777777" w:rsidTr="00E772FA">
        <w:trPr>
          <w:trHeight w:val="377"/>
        </w:trPr>
        <w:tc>
          <w:tcPr>
            <w:tcW w:w="3690" w:type="dxa"/>
          </w:tcPr>
          <w:p w14:paraId="7989A83B" w14:textId="77777777" w:rsidR="00C85A74" w:rsidRPr="00BF14FE" w:rsidRDefault="00C85A74" w:rsidP="00E772FA">
            <w:bookmarkStart w:id="4" w:name="_Hlk517871567"/>
            <w:r>
              <w:t>Direct Testimony or Status Report</w:t>
            </w:r>
          </w:p>
        </w:tc>
        <w:tc>
          <w:tcPr>
            <w:tcW w:w="3150" w:type="dxa"/>
          </w:tcPr>
          <w:p w14:paraId="3107C82F" w14:textId="77777777" w:rsidR="00C85A74" w:rsidRPr="00BF14FE" w:rsidRDefault="00C85A74" w:rsidP="00E772FA">
            <w:r>
              <w:t>August 16, 2024</w:t>
            </w:r>
          </w:p>
        </w:tc>
      </w:tr>
      <w:tr w:rsidR="00C85A74" w:rsidRPr="009065F4" w14:paraId="75E593ED" w14:textId="77777777" w:rsidTr="00E772FA">
        <w:tc>
          <w:tcPr>
            <w:tcW w:w="3690" w:type="dxa"/>
          </w:tcPr>
          <w:p w14:paraId="5AA9C2D1" w14:textId="77777777" w:rsidR="00C85A74" w:rsidRDefault="00C85A74" w:rsidP="00E772FA">
            <w:r>
              <w:t xml:space="preserve">Rebuttal </w:t>
            </w:r>
            <w:r w:rsidRPr="00B46BC3">
              <w:t>Testimony</w:t>
            </w:r>
            <w:r>
              <w:t xml:space="preserve"> or </w:t>
            </w:r>
          </w:p>
          <w:p w14:paraId="3DA3B61A" w14:textId="77777777" w:rsidR="00C85A74" w:rsidRPr="00B46BC3" w:rsidRDefault="00C85A74" w:rsidP="00E772FA">
            <w:r>
              <w:t>Joint Stipulation of Facts</w:t>
            </w:r>
          </w:p>
        </w:tc>
        <w:tc>
          <w:tcPr>
            <w:tcW w:w="3150" w:type="dxa"/>
          </w:tcPr>
          <w:p w14:paraId="4C8DC5AE" w14:textId="77777777" w:rsidR="00C85A74" w:rsidRPr="00B46BC3" w:rsidRDefault="00C85A74" w:rsidP="00E772FA">
            <w:pPr>
              <w:spacing w:line="360" w:lineRule="auto"/>
            </w:pPr>
            <w:r>
              <w:t>September 13, 2024</w:t>
            </w:r>
          </w:p>
        </w:tc>
      </w:tr>
      <w:tr w:rsidR="00C85A74" w:rsidRPr="009065F4" w14:paraId="31EB14CE" w14:textId="77777777" w:rsidTr="00E772FA">
        <w:tc>
          <w:tcPr>
            <w:tcW w:w="3690" w:type="dxa"/>
          </w:tcPr>
          <w:p w14:paraId="0368E4A3" w14:textId="1C16CFB7" w:rsidR="00C85A74" w:rsidRPr="00B46BC3" w:rsidRDefault="00C85A74" w:rsidP="00E772FA">
            <w:pPr>
              <w:spacing w:line="360" w:lineRule="auto"/>
            </w:pPr>
            <w:r w:rsidRPr="00B46BC3">
              <w:t>Evidentiary Hearing</w:t>
            </w:r>
            <w:r>
              <w:t xml:space="preserve"> </w:t>
            </w:r>
          </w:p>
        </w:tc>
        <w:tc>
          <w:tcPr>
            <w:tcW w:w="3150" w:type="dxa"/>
          </w:tcPr>
          <w:p w14:paraId="6A17E64D" w14:textId="77777777" w:rsidR="00C85A74" w:rsidRPr="00B46BC3" w:rsidRDefault="00C85A74" w:rsidP="00E772FA">
            <w:pPr>
              <w:spacing w:line="360" w:lineRule="auto"/>
            </w:pPr>
            <w:r>
              <w:t>October 2, 2024</w:t>
            </w:r>
          </w:p>
        </w:tc>
      </w:tr>
      <w:bookmarkEnd w:id="2"/>
      <w:bookmarkEnd w:id="3"/>
      <w:bookmarkEnd w:id="4"/>
    </w:tbl>
    <w:p w14:paraId="433CD120" w14:textId="50105F16" w:rsidR="006B3DA9" w:rsidRDefault="006B3DA9" w:rsidP="00C85A74">
      <w:pPr>
        <w:spacing w:line="360" w:lineRule="auto"/>
      </w:pPr>
    </w:p>
    <w:p w14:paraId="2D5804D2" w14:textId="7BF56EF4" w:rsidR="006B3DA9" w:rsidRDefault="006B3DA9" w:rsidP="006B3DA9">
      <w:pPr>
        <w:spacing w:line="360" w:lineRule="auto"/>
        <w:ind w:firstLine="1440"/>
      </w:pPr>
      <w:r>
        <w:t>On July 25, 2024, a Supplemental Scheduling Order was issued, removing Fairview Township and Butler County as parties to this proceeding.</w:t>
      </w:r>
    </w:p>
    <w:p w14:paraId="6EE544BC" w14:textId="77777777" w:rsidR="006B3DA9" w:rsidRDefault="006B3DA9" w:rsidP="006B3DA9">
      <w:pPr>
        <w:spacing w:line="360" w:lineRule="auto"/>
        <w:ind w:firstLine="1440"/>
      </w:pPr>
    </w:p>
    <w:p w14:paraId="23C2A3A1" w14:textId="1B87A5C4" w:rsidR="006B3DA9" w:rsidRDefault="006B3DA9" w:rsidP="006B3DA9">
      <w:pPr>
        <w:spacing w:line="360" w:lineRule="auto"/>
        <w:ind w:firstLine="1440"/>
      </w:pPr>
      <w:r>
        <w:t>On August 14, 2024, a Second Supplemental Scheduling Order was issued, removing Kay Barnhart as a party to this proceeding.</w:t>
      </w:r>
    </w:p>
    <w:p w14:paraId="5F397639" w14:textId="77777777" w:rsidR="000F65D0" w:rsidRDefault="000F65D0" w:rsidP="006B3DA9">
      <w:pPr>
        <w:spacing w:line="360" w:lineRule="auto"/>
        <w:ind w:firstLine="1440"/>
      </w:pPr>
    </w:p>
    <w:p w14:paraId="5B2B4D50" w14:textId="349DF862" w:rsidR="000F65D0" w:rsidRDefault="000F65D0" w:rsidP="006B3DA9">
      <w:pPr>
        <w:spacing w:line="360" w:lineRule="auto"/>
        <w:ind w:firstLine="1440"/>
      </w:pPr>
      <w:r>
        <w:t xml:space="preserve">On September 6, 2024, B&amp;LE, PennDOT, and I&amp;E requested by e-mail that the October 2, </w:t>
      </w:r>
      <w:proofErr w:type="gramStart"/>
      <w:r>
        <w:t>2024</w:t>
      </w:r>
      <w:proofErr w:type="gramEnd"/>
      <w:r>
        <w:t xml:space="preserve"> evidentiary hearing be cancelled.</w:t>
      </w:r>
    </w:p>
    <w:p w14:paraId="6F54C35A" w14:textId="77777777" w:rsidR="00C85A74" w:rsidRDefault="00C85A74" w:rsidP="00C85A74">
      <w:pPr>
        <w:spacing w:line="360" w:lineRule="auto"/>
      </w:pPr>
    </w:p>
    <w:p w14:paraId="045C1770" w14:textId="4F18406F" w:rsidR="0026309E" w:rsidRDefault="006B3DA9" w:rsidP="00C85A74">
      <w:pPr>
        <w:spacing w:line="360" w:lineRule="auto"/>
        <w:ind w:firstLine="1440"/>
      </w:pPr>
      <w:r>
        <w:t xml:space="preserve">On </w:t>
      </w:r>
      <w:r w:rsidR="000F65D0">
        <w:t>September 16</w:t>
      </w:r>
      <w:r>
        <w:t xml:space="preserve">, an Order </w:t>
      </w:r>
      <w:r w:rsidR="000F65D0">
        <w:t xml:space="preserve">Admitting Joint Stipulation of Facts </w:t>
      </w:r>
      <w:r>
        <w:t>was issued.</w:t>
      </w:r>
    </w:p>
    <w:p w14:paraId="2116DD5B" w14:textId="77777777" w:rsidR="000F65D0" w:rsidRDefault="000F65D0" w:rsidP="00C85A74">
      <w:pPr>
        <w:spacing w:line="360" w:lineRule="auto"/>
        <w:ind w:firstLine="1440"/>
      </w:pPr>
    </w:p>
    <w:p w14:paraId="1B95FC51" w14:textId="31F5BEB8" w:rsidR="000F65D0" w:rsidRDefault="000F65D0" w:rsidP="00C85A74">
      <w:pPr>
        <w:spacing w:line="360" w:lineRule="auto"/>
        <w:ind w:firstLine="1440"/>
      </w:pPr>
      <w:r>
        <w:t>No further evidentiary hearings are scheduled to take place in this proceeding.</w:t>
      </w:r>
    </w:p>
    <w:p w14:paraId="0B28FD8F" w14:textId="3D2C0DB6" w:rsidR="00C85A74" w:rsidRDefault="00C85A74" w:rsidP="0026309E">
      <w:pPr>
        <w:spacing w:line="360" w:lineRule="auto"/>
        <w:ind w:firstLine="1440"/>
        <w:textAlignment w:val="baseline"/>
      </w:pPr>
    </w:p>
    <w:p w14:paraId="2E85358E" w14:textId="77777777" w:rsidR="00591BC0" w:rsidRDefault="00591BC0" w:rsidP="0026309E">
      <w:pPr>
        <w:spacing w:line="360" w:lineRule="auto"/>
        <w:ind w:firstLine="1440"/>
        <w:textAlignment w:val="baseline"/>
      </w:pPr>
    </w:p>
    <w:p w14:paraId="5BFBD0CB" w14:textId="77777777" w:rsidR="0026309E" w:rsidRPr="002819D4" w:rsidRDefault="0026309E" w:rsidP="0026309E">
      <w:pPr>
        <w:spacing w:line="360" w:lineRule="auto"/>
        <w:ind w:left="720" w:firstLine="720"/>
        <w:contextualSpacing/>
      </w:pPr>
      <w:r w:rsidRPr="002819D4">
        <w:t>THEREFORE,</w:t>
      </w:r>
    </w:p>
    <w:p w14:paraId="6685E2EC" w14:textId="77777777" w:rsidR="0026309E" w:rsidRPr="002819D4" w:rsidRDefault="0026309E" w:rsidP="0026309E">
      <w:pPr>
        <w:spacing w:line="360" w:lineRule="auto"/>
        <w:contextualSpacing/>
      </w:pPr>
    </w:p>
    <w:p w14:paraId="395F5625" w14:textId="77777777" w:rsidR="0026309E" w:rsidRPr="002819D4" w:rsidRDefault="0026309E" w:rsidP="0026309E">
      <w:pPr>
        <w:spacing w:line="360" w:lineRule="auto"/>
        <w:contextualSpacing/>
      </w:pPr>
      <w:r w:rsidRPr="002819D4">
        <w:tab/>
      </w:r>
      <w:r w:rsidRPr="002819D4">
        <w:tab/>
        <w:t>IT IS ORDERED:</w:t>
      </w:r>
    </w:p>
    <w:p w14:paraId="19789E30" w14:textId="77777777" w:rsidR="0026309E" w:rsidRPr="002819D4" w:rsidRDefault="0026309E" w:rsidP="0026309E">
      <w:pPr>
        <w:spacing w:after="120" w:line="360" w:lineRule="auto"/>
        <w:contextualSpacing/>
      </w:pPr>
    </w:p>
    <w:p w14:paraId="43595B9F" w14:textId="5DC07ADA" w:rsidR="0026309E" w:rsidRPr="002819D4" w:rsidRDefault="0026309E" w:rsidP="006A7307">
      <w:pPr>
        <w:numPr>
          <w:ilvl w:val="0"/>
          <w:numId w:val="1"/>
        </w:numPr>
        <w:spacing w:after="120" w:line="360" w:lineRule="auto"/>
        <w:ind w:left="0" w:firstLine="1440"/>
        <w:contextualSpacing/>
      </w:pPr>
      <w:r w:rsidRPr="0012308D">
        <w:rPr>
          <w:rFonts w:eastAsia="Calibri"/>
        </w:rPr>
        <w:t>That Main Briefs are due on or before</w:t>
      </w:r>
      <w:r w:rsidR="005B0464" w:rsidRPr="0012308D">
        <w:rPr>
          <w:rFonts w:eastAsia="Calibri"/>
        </w:rPr>
        <w:t xml:space="preserve"> </w:t>
      </w:r>
      <w:r w:rsidR="00C85A74" w:rsidRPr="0012308D">
        <w:rPr>
          <w:rFonts w:eastAsia="Calibri"/>
        </w:rPr>
        <w:t>Friday</w:t>
      </w:r>
      <w:r w:rsidRPr="0012308D">
        <w:rPr>
          <w:rFonts w:eastAsia="Calibri"/>
        </w:rPr>
        <w:t xml:space="preserve">, </w:t>
      </w:r>
      <w:r w:rsidR="00C85A74">
        <w:t>October 25</w:t>
      </w:r>
      <w:r>
        <w:t xml:space="preserve">, </w:t>
      </w:r>
      <w:proofErr w:type="gramStart"/>
      <w:r>
        <w:t>202</w:t>
      </w:r>
      <w:r w:rsidR="00AB394C">
        <w:t>4</w:t>
      </w:r>
      <w:r w:rsidRPr="0012308D">
        <w:rPr>
          <w:rFonts w:eastAsia="Calibri"/>
        </w:rPr>
        <w:t>;</w:t>
      </w:r>
      <w:proofErr w:type="gramEnd"/>
    </w:p>
    <w:p w14:paraId="561CC7D7" w14:textId="77777777" w:rsidR="0026309E" w:rsidRPr="002819D4" w:rsidRDefault="0026309E" w:rsidP="0026309E">
      <w:pPr>
        <w:spacing w:after="120" w:line="360" w:lineRule="auto"/>
        <w:ind w:firstLine="1440"/>
        <w:contextualSpacing/>
      </w:pPr>
    </w:p>
    <w:p w14:paraId="292B5E38" w14:textId="41637FFE" w:rsidR="0026309E" w:rsidRPr="00C77E42" w:rsidRDefault="0026309E" w:rsidP="005F0BF5">
      <w:pPr>
        <w:numPr>
          <w:ilvl w:val="0"/>
          <w:numId w:val="1"/>
        </w:numPr>
        <w:spacing w:after="120" w:line="360" w:lineRule="auto"/>
        <w:ind w:left="0" w:firstLine="1440"/>
        <w:contextualSpacing/>
      </w:pPr>
      <w:r w:rsidRPr="002819D4">
        <w:rPr>
          <w:rFonts w:eastAsia="Calibri"/>
        </w:rPr>
        <w:t xml:space="preserve">That Reply Briefs are due on or before </w:t>
      </w:r>
      <w:r w:rsidR="00C85A74">
        <w:rPr>
          <w:rFonts w:eastAsia="Calibri"/>
        </w:rPr>
        <w:t>Monday</w:t>
      </w:r>
      <w:r w:rsidR="00AB394C">
        <w:rPr>
          <w:rFonts w:eastAsia="Calibri"/>
        </w:rPr>
        <w:t>,</w:t>
      </w:r>
      <w:r w:rsidRPr="002819D4">
        <w:rPr>
          <w:rFonts w:eastAsia="Calibri"/>
        </w:rPr>
        <w:t xml:space="preserve"> </w:t>
      </w:r>
      <w:r w:rsidR="00C85A74">
        <w:rPr>
          <w:rFonts w:eastAsia="Calibri"/>
        </w:rPr>
        <w:t>November 4</w:t>
      </w:r>
      <w:r w:rsidR="00AB394C">
        <w:rPr>
          <w:rFonts w:eastAsia="Calibri"/>
        </w:rPr>
        <w:t>,</w:t>
      </w:r>
      <w:r>
        <w:t xml:space="preserve"> </w:t>
      </w:r>
      <w:proofErr w:type="gramStart"/>
      <w:r>
        <w:t>202</w:t>
      </w:r>
      <w:r w:rsidR="00AB394C">
        <w:t>4</w:t>
      </w:r>
      <w:r w:rsidRPr="002819D4">
        <w:rPr>
          <w:rFonts w:eastAsia="Calibri"/>
        </w:rPr>
        <w:t>;</w:t>
      </w:r>
      <w:proofErr w:type="gramEnd"/>
    </w:p>
    <w:p w14:paraId="1C95FE3D" w14:textId="77777777" w:rsidR="0026309E" w:rsidRPr="002819D4" w:rsidRDefault="0026309E" w:rsidP="0026309E">
      <w:pPr>
        <w:spacing w:line="360" w:lineRule="auto"/>
        <w:ind w:firstLine="1440"/>
        <w:contextualSpacing/>
      </w:pPr>
    </w:p>
    <w:p w14:paraId="41471EE9" w14:textId="77777777" w:rsidR="0026309E" w:rsidRPr="002819D4" w:rsidRDefault="0026309E" w:rsidP="0026309E">
      <w:pPr>
        <w:numPr>
          <w:ilvl w:val="0"/>
          <w:numId w:val="1"/>
        </w:numPr>
        <w:spacing w:after="120" w:line="360" w:lineRule="auto"/>
        <w:ind w:left="0" w:firstLine="1440"/>
        <w:contextualSpacing/>
      </w:pPr>
      <w:r w:rsidRPr="002819D4">
        <w:rPr>
          <w:rFonts w:eastAsia="Calibri"/>
        </w:rPr>
        <w:t xml:space="preserve">That the briefs must substantially comply with the Commission's regulations at 52 </w:t>
      </w:r>
      <w:proofErr w:type="spellStart"/>
      <w:proofErr w:type="gramStart"/>
      <w:r w:rsidRPr="002819D4">
        <w:rPr>
          <w:rFonts w:eastAsia="Calibri"/>
        </w:rPr>
        <w:t>Pa.Code</w:t>
      </w:r>
      <w:proofErr w:type="spellEnd"/>
      <w:proofErr w:type="gramEnd"/>
      <w:r w:rsidRPr="002819D4">
        <w:rPr>
          <w:rFonts w:eastAsia="Calibri"/>
        </w:rPr>
        <w:t xml:space="preserve"> §§ 5.501, 5.502;</w:t>
      </w:r>
    </w:p>
    <w:p w14:paraId="6079A5B0" w14:textId="77777777" w:rsidR="0026309E" w:rsidRPr="002819D4" w:rsidRDefault="0026309E" w:rsidP="0026309E">
      <w:pPr>
        <w:spacing w:line="360" w:lineRule="auto"/>
        <w:ind w:firstLine="1440"/>
        <w:contextualSpacing/>
      </w:pPr>
    </w:p>
    <w:p w14:paraId="5BAB7422" w14:textId="3078DD8A" w:rsidR="00F719DF" w:rsidRDefault="0026309E" w:rsidP="005F0BF5">
      <w:pPr>
        <w:numPr>
          <w:ilvl w:val="0"/>
          <w:numId w:val="1"/>
        </w:numPr>
        <w:spacing w:after="120" w:line="360" w:lineRule="auto"/>
        <w:ind w:left="0" w:firstLine="1440"/>
        <w:contextualSpacing/>
      </w:pPr>
      <w:r w:rsidRPr="002819D4">
        <w:t>That the briefs must contain</w:t>
      </w:r>
      <w:proofErr w:type="gramStart"/>
      <w:r w:rsidRPr="002819D4">
        <w:t>:  (</w:t>
      </w:r>
      <w:proofErr w:type="gramEnd"/>
      <w:r w:rsidRPr="002819D4">
        <w:t xml:space="preserve">a) a concise statement or counter-statement of the case; (b) an argument, with sufficient citations to record evidence, preceded by a summary; </w:t>
      </w:r>
      <w:r w:rsidR="00F719DF">
        <w:t xml:space="preserve">and </w:t>
      </w:r>
      <w:r w:rsidRPr="002819D4">
        <w:t>(c) a conclusion with requested relief</w:t>
      </w:r>
      <w:r w:rsidR="00C60F66">
        <w:t>;</w:t>
      </w:r>
      <w:r w:rsidR="00C60F66" w:rsidRPr="002819D4">
        <w:t xml:space="preserve"> </w:t>
      </w:r>
    </w:p>
    <w:p w14:paraId="5B93312A" w14:textId="77777777" w:rsidR="00F719DF" w:rsidRDefault="00F719DF" w:rsidP="005F0BF5">
      <w:pPr>
        <w:pStyle w:val="ListParagraph"/>
        <w:spacing w:line="360" w:lineRule="auto"/>
      </w:pPr>
    </w:p>
    <w:p w14:paraId="35D630FF" w14:textId="5627822F" w:rsidR="0026309E" w:rsidRDefault="00F719DF" w:rsidP="00082429">
      <w:pPr>
        <w:numPr>
          <w:ilvl w:val="0"/>
          <w:numId w:val="1"/>
        </w:numPr>
        <w:spacing w:after="120" w:line="360" w:lineRule="auto"/>
        <w:ind w:left="0" w:firstLine="1440"/>
        <w:contextualSpacing/>
      </w:pPr>
      <w:r>
        <w:t xml:space="preserve">Main Briefs shall include </w:t>
      </w:r>
      <w:r w:rsidR="0026309E" w:rsidRPr="002819D4">
        <w:t>(</w:t>
      </w:r>
      <w:r>
        <w:t>a</w:t>
      </w:r>
      <w:r w:rsidR="0026309E" w:rsidRPr="002819D4">
        <w:t xml:space="preserve">) proposed Findings of Fact, together with page references to </w:t>
      </w:r>
      <w:r w:rsidR="00C85A74">
        <w:t>the record</w:t>
      </w:r>
      <w:r w:rsidR="0026309E" w:rsidRPr="002819D4">
        <w:t>; (</w:t>
      </w:r>
      <w:r>
        <w:t>b</w:t>
      </w:r>
      <w:r w:rsidR="0026309E" w:rsidRPr="002819D4">
        <w:t>) proposed Conclusions of Law, together with legal citations and (</w:t>
      </w:r>
      <w:r>
        <w:t>c</w:t>
      </w:r>
      <w:r w:rsidR="0026309E" w:rsidRPr="002819D4">
        <w:t xml:space="preserve">) proposed Ordering </w:t>
      </w:r>
      <w:proofErr w:type="gramStart"/>
      <w:r w:rsidR="0026309E" w:rsidRPr="002819D4">
        <w:t>Paragraphs;</w:t>
      </w:r>
      <w:proofErr w:type="gramEnd"/>
    </w:p>
    <w:p w14:paraId="7F739C04" w14:textId="77777777" w:rsidR="00A05623" w:rsidRDefault="00A05623" w:rsidP="00C85A74"/>
    <w:p w14:paraId="68B83FC7" w14:textId="6FB0D1D2" w:rsidR="00A05623" w:rsidRPr="002819D4" w:rsidRDefault="00A05623" w:rsidP="0026309E">
      <w:pPr>
        <w:numPr>
          <w:ilvl w:val="0"/>
          <w:numId w:val="1"/>
        </w:numPr>
        <w:spacing w:after="120" w:line="360" w:lineRule="auto"/>
        <w:ind w:left="0" w:firstLine="1440"/>
        <w:contextualSpacing/>
      </w:pPr>
      <w:r>
        <w:t>That i</w:t>
      </w:r>
      <w:r w:rsidR="007B5F00">
        <w:t>f</w:t>
      </w:r>
      <w:r>
        <w:t xml:space="preserve"> </w:t>
      </w:r>
      <w:r w:rsidR="007B5F00">
        <w:t xml:space="preserve">a </w:t>
      </w:r>
      <w:r>
        <w:t>part</w:t>
      </w:r>
      <w:r w:rsidR="007B5F00">
        <w:t>y</w:t>
      </w:r>
      <w:r>
        <w:t xml:space="preserve"> submit</w:t>
      </w:r>
      <w:r w:rsidR="007B5F00">
        <w:t>s</w:t>
      </w:r>
      <w:r>
        <w:t xml:space="preserve"> </w:t>
      </w:r>
      <w:r w:rsidR="007B5F00">
        <w:t xml:space="preserve">a </w:t>
      </w:r>
      <w:r>
        <w:t>brief containing confidential information, the</w:t>
      </w:r>
      <w:r w:rsidR="007B5F00">
        <w:t xml:space="preserve"> party</w:t>
      </w:r>
      <w:r>
        <w:t xml:space="preserve"> must submit two versions of the brief: (1) one version conspicuously marked as containing confidential </w:t>
      </w:r>
      <w:r w:rsidR="00C83D66">
        <w:t>information</w:t>
      </w:r>
      <w:r>
        <w:t xml:space="preserve">, only to be served to the ALJ and </w:t>
      </w:r>
      <w:r w:rsidR="00C85A74">
        <w:t>parties</w:t>
      </w:r>
      <w:r w:rsidR="005C1418">
        <w:t>; and (2) a second, public version with all confidential information redacted.</w:t>
      </w:r>
      <w:r>
        <w:t xml:space="preserve">  When filing </w:t>
      </w:r>
      <w:r w:rsidR="007B5F00">
        <w:t xml:space="preserve">a brief containing confidential </w:t>
      </w:r>
      <w:r w:rsidR="00C83D66">
        <w:t>information</w:t>
      </w:r>
      <w:r>
        <w:t xml:space="preserve">, parties must clearly indicate to the Commission’s Secretary’s Bureau that the brief contains confidential </w:t>
      </w:r>
      <w:r w:rsidR="00C83D66">
        <w:t>information</w:t>
      </w:r>
      <w:r w:rsidR="007B5F00">
        <w:t xml:space="preserve"> to ensure that the brief is not published on the Commission’s website</w:t>
      </w:r>
      <w:r w:rsidR="004D163E">
        <w:t xml:space="preserve">, and to ensure that it is appropriately </w:t>
      </w:r>
      <w:proofErr w:type="gramStart"/>
      <w:r w:rsidR="004D163E">
        <w:t>filed</w:t>
      </w:r>
      <w:r w:rsidR="00591BC0">
        <w:t>;</w:t>
      </w:r>
      <w:proofErr w:type="gramEnd"/>
      <w:r w:rsidR="005C1418">
        <w:t xml:space="preserve"> </w:t>
      </w:r>
    </w:p>
    <w:p w14:paraId="744A2958" w14:textId="77777777" w:rsidR="0026309E" w:rsidRPr="002819D4" w:rsidRDefault="0026309E" w:rsidP="0026309E">
      <w:pPr>
        <w:spacing w:line="360" w:lineRule="auto"/>
        <w:ind w:firstLine="1440"/>
        <w:contextualSpacing/>
      </w:pPr>
    </w:p>
    <w:p w14:paraId="5C2114CC" w14:textId="6D6E5B73" w:rsidR="0026309E" w:rsidRPr="002819D4" w:rsidRDefault="0026309E" w:rsidP="0026309E">
      <w:pPr>
        <w:numPr>
          <w:ilvl w:val="0"/>
          <w:numId w:val="1"/>
        </w:numPr>
        <w:spacing w:after="120" w:line="360" w:lineRule="auto"/>
        <w:ind w:left="0" w:firstLine="1440"/>
        <w:contextualSpacing/>
      </w:pPr>
      <w:r w:rsidRPr="002819D4">
        <w:t>That the parties shall file the Main Brief with the Commission no later than 4:</w:t>
      </w:r>
      <w:r w:rsidR="007635B4">
        <w:t>30</w:t>
      </w:r>
      <w:r w:rsidR="007635B4" w:rsidRPr="002819D4">
        <w:t xml:space="preserve"> </w:t>
      </w:r>
      <w:r w:rsidRPr="002819D4">
        <w:t xml:space="preserve">p.m. on the date </w:t>
      </w:r>
      <w:proofErr w:type="gramStart"/>
      <w:r w:rsidRPr="002819D4">
        <w:t>due;</w:t>
      </w:r>
      <w:proofErr w:type="gramEnd"/>
    </w:p>
    <w:p w14:paraId="7C27AB73" w14:textId="77777777" w:rsidR="0026309E" w:rsidRPr="002819D4" w:rsidRDefault="0026309E" w:rsidP="0026309E">
      <w:pPr>
        <w:spacing w:line="360" w:lineRule="auto"/>
        <w:ind w:left="720"/>
        <w:contextualSpacing/>
      </w:pPr>
    </w:p>
    <w:p w14:paraId="18E956B6" w14:textId="3DB735DA" w:rsidR="0026309E" w:rsidRPr="002819D4" w:rsidRDefault="0026309E" w:rsidP="0026309E">
      <w:pPr>
        <w:numPr>
          <w:ilvl w:val="0"/>
          <w:numId w:val="1"/>
        </w:numPr>
        <w:spacing w:after="120" w:line="360" w:lineRule="auto"/>
        <w:ind w:left="0" w:firstLine="1440"/>
        <w:contextualSpacing/>
      </w:pPr>
      <w:r w:rsidRPr="002819D4">
        <w:t xml:space="preserve">That the parties shall file the Reply Brief with the Commission no later than </w:t>
      </w:r>
      <w:r w:rsidR="007635B4">
        <w:t>4:30</w:t>
      </w:r>
      <w:r w:rsidRPr="002819D4">
        <w:t xml:space="preserve"> p.m. on the date </w:t>
      </w:r>
      <w:proofErr w:type="gramStart"/>
      <w:r w:rsidRPr="002819D4">
        <w:t>due</w:t>
      </w:r>
      <w:r w:rsidR="00C60F66">
        <w:t>;</w:t>
      </w:r>
      <w:proofErr w:type="gramEnd"/>
    </w:p>
    <w:p w14:paraId="4AB04860" w14:textId="77777777" w:rsidR="0026309E" w:rsidRPr="002819D4" w:rsidRDefault="0026309E" w:rsidP="0026309E">
      <w:pPr>
        <w:spacing w:line="360" w:lineRule="auto"/>
        <w:ind w:firstLine="1440"/>
        <w:contextualSpacing/>
      </w:pPr>
    </w:p>
    <w:p w14:paraId="67D576EB" w14:textId="77777777" w:rsidR="0026309E" w:rsidRPr="002819D4" w:rsidRDefault="0026309E" w:rsidP="0026309E">
      <w:pPr>
        <w:numPr>
          <w:ilvl w:val="0"/>
          <w:numId w:val="1"/>
        </w:numPr>
        <w:spacing w:after="120" w:line="360" w:lineRule="auto"/>
        <w:ind w:left="0" w:firstLine="1440"/>
        <w:contextualSpacing/>
      </w:pPr>
      <w:r w:rsidRPr="002819D4">
        <w:t xml:space="preserve">That any brief not filed and served on or before the dates set forth above will not be accepted except by special </w:t>
      </w:r>
      <w:proofErr w:type="gramStart"/>
      <w:r w:rsidRPr="002819D4">
        <w:t>permission;</w:t>
      </w:r>
      <w:proofErr w:type="gramEnd"/>
    </w:p>
    <w:p w14:paraId="7E9184FC" w14:textId="28D3569D" w:rsidR="002F302D" w:rsidRPr="002819D4" w:rsidRDefault="002F302D" w:rsidP="002F302D">
      <w:pPr>
        <w:spacing w:after="120" w:line="360" w:lineRule="auto"/>
        <w:contextualSpacing/>
      </w:pPr>
    </w:p>
    <w:p w14:paraId="6BB4F015" w14:textId="76FB7D09" w:rsidR="0026309E" w:rsidRPr="002819D4" w:rsidRDefault="0026309E" w:rsidP="00082429">
      <w:pPr>
        <w:numPr>
          <w:ilvl w:val="0"/>
          <w:numId w:val="1"/>
        </w:numPr>
        <w:spacing w:after="120" w:line="360" w:lineRule="auto"/>
        <w:ind w:left="0" w:firstLine="1440"/>
        <w:contextualSpacing/>
      </w:pPr>
      <w:r w:rsidRPr="002819D4">
        <w:rPr>
          <w:spacing w:val="-3"/>
        </w:rPr>
        <w:t xml:space="preserve">That if a brief contains a citation to an unreported decision which is not available on LEXIS or the Commission’s website, a copy of that unreported decision must be appended to the </w:t>
      </w:r>
      <w:proofErr w:type="gramStart"/>
      <w:r w:rsidRPr="002819D4">
        <w:rPr>
          <w:spacing w:val="-3"/>
        </w:rPr>
        <w:t>brief;</w:t>
      </w:r>
      <w:proofErr w:type="gramEnd"/>
    </w:p>
    <w:p w14:paraId="176B3BFC" w14:textId="77777777" w:rsidR="0026309E" w:rsidRDefault="0026309E" w:rsidP="00082429">
      <w:pPr>
        <w:pStyle w:val="ListParagraph"/>
        <w:spacing w:line="360" w:lineRule="auto"/>
      </w:pPr>
    </w:p>
    <w:p w14:paraId="237476B2" w14:textId="3FD02507" w:rsidR="0026309E" w:rsidRPr="001E7343" w:rsidRDefault="0026309E" w:rsidP="0026309E">
      <w:pPr>
        <w:numPr>
          <w:ilvl w:val="0"/>
          <w:numId w:val="1"/>
        </w:numPr>
        <w:spacing w:after="120" w:line="360" w:lineRule="auto"/>
        <w:ind w:left="0" w:firstLine="1440"/>
        <w:contextualSpacing/>
      </w:pPr>
      <w:r w:rsidRPr="002819D4">
        <w:rPr>
          <w:spacing w:val="-3"/>
        </w:rPr>
        <w:t xml:space="preserve">That the parties are to e-mail </w:t>
      </w:r>
      <w:r w:rsidR="00C85A74">
        <w:rPr>
          <w:spacing w:val="-3"/>
        </w:rPr>
        <w:t>me</w:t>
      </w:r>
      <w:r w:rsidRPr="002819D4">
        <w:rPr>
          <w:spacing w:val="-3"/>
        </w:rPr>
        <w:t xml:space="preserve"> a copy of their as-filed briefs in a </w:t>
      </w:r>
      <w:r w:rsidR="000F65D0">
        <w:rPr>
          <w:spacing w:val="-3"/>
        </w:rPr>
        <w:t>Microsoft Word</w:t>
      </w:r>
      <w:r w:rsidRPr="002819D4">
        <w:rPr>
          <w:spacing w:val="-3"/>
        </w:rPr>
        <w:t>-formatted document in addition to A</w:t>
      </w:r>
      <w:r w:rsidR="000F65D0">
        <w:rPr>
          <w:spacing w:val="-3"/>
        </w:rPr>
        <w:t>dobe</w:t>
      </w:r>
      <w:r w:rsidRPr="002819D4">
        <w:rPr>
          <w:spacing w:val="-3"/>
        </w:rPr>
        <w:t xml:space="preserve"> or other compatible PDF </w:t>
      </w:r>
      <w:proofErr w:type="gramStart"/>
      <w:r w:rsidRPr="002819D4">
        <w:rPr>
          <w:spacing w:val="-3"/>
        </w:rPr>
        <w:t>format</w:t>
      </w:r>
      <w:r w:rsidR="0019192F">
        <w:rPr>
          <w:spacing w:val="-3"/>
        </w:rPr>
        <w:t>;</w:t>
      </w:r>
      <w:proofErr w:type="gramEnd"/>
    </w:p>
    <w:p w14:paraId="2EF4C499" w14:textId="77777777" w:rsidR="001E7343" w:rsidRDefault="001E7343" w:rsidP="001E7343">
      <w:pPr>
        <w:pStyle w:val="ListParagraph"/>
      </w:pPr>
    </w:p>
    <w:p w14:paraId="42F1AB6A" w14:textId="77777777" w:rsidR="00591BC0" w:rsidRDefault="001E7343" w:rsidP="0026309E">
      <w:pPr>
        <w:numPr>
          <w:ilvl w:val="0"/>
          <w:numId w:val="1"/>
        </w:numPr>
        <w:spacing w:after="120" w:line="360" w:lineRule="auto"/>
        <w:ind w:left="0" w:firstLine="1440"/>
        <w:contextualSpacing/>
      </w:pPr>
      <w:r>
        <w:t xml:space="preserve">That </w:t>
      </w:r>
      <w:r w:rsidR="00C85A74">
        <w:t xml:space="preserve">the record will close on November 4, </w:t>
      </w:r>
      <w:proofErr w:type="gramStart"/>
      <w:r w:rsidR="00C85A74">
        <w:t>2024</w:t>
      </w:r>
      <w:r w:rsidR="0019192F">
        <w:t>;</w:t>
      </w:r>
      <w:proofErr w:type="gramEnd"/>
      <w:r w:rsidR="00C85A74">
        <w:t xml:space="preserve"> </w:t>
      </w:r>
    </w:p>
    <w:p w14:paraId="4C49D401" w14:textId="77777777" w:rsidR="00591BC0" w:rsidRDefault="00591BC0" w:rsidP="00591BC0">
      <w:pPr>
        <w:pStyle w:val="ListParagraph"/>
      </w:pPr>
    </w:p>
    <w:p w14:paraId="63531F4D" w14:textId="00373DB2" w:rsidR="00A05623" w:rsidRDefault="00591BC0" w:rsidP="00854111">
      <w:pPr>
        <w:numPr>
          <w:ilvl w:val="0"/>
          <w:numId w:val="1"/>
        </w:numPr>
        <w:spacing w:after="120" w:line="360" w:lineRule="auto"/>
        <w:ind w:left="0" w:firstLine="1440"/>
        <w:contextualSpacing/>
      </w:pPr>
      <w:r>
        <w:t xml:space="preserve">Parties may cite to any record evidence admitted at Docket No. I-2019-3012769; and </w:t>
      </w:r>
    </w:p>
    <w:p w14:paraId="48EDC5E5" w14:textId="77777777" w:rsidR="00591BC0" w:rsidRDefault="00591BC0" w:rsidP="00591BC0">
      <w:pPr>
        <w:spacing w:after="120" w:line="360" w:lineRule="auto"/>
        <w:contextualSpacing/>
      </w:pPr>
    </w:p>
    <w:p w14:paraId="45FA5B36" w14:textId="7D8BA827" w:rsidR="0026309E" w:rsidRDefault="00A05623" w:rsidP="00A014C2">
      <w:pPr>
        <w:numPr>
          <w:ilvl w:val="0"/>
          <w:numId w:val="1"/>
        </w:numPr>
        <w:spacing w:after="120" w:line="360" w:lineRule="auto"/>
        <w:ind w:left="0" w:firstLine="1440"/>
        <w:contextualSpacing/>
      </w:pPr>
      <w:r w:rsidRPr="002819D4">
        <w:t>That the parties are advised not to include any extra-record evidence in their briefs</w:t>
      </w:r>
      <w:r w:rsidR="00C85A74">
        <w:t>.</w:t>
      </w:r>
      <w:r w:rsidR="00591BC0">
        <w:t xml:space="preserve">  </w:t>
      </w:r>
    </w:p>
    <w:p w14:paraId="3FF30AFA" w14:textId="6E1EDA54" w:rsidR="00591BC0" w:rsidRPr="00CA2345" w:rsidRDefault="00591BC0" w:rsidP="00591BC0">
      <w:pPr>
        <w:spacing w:after="120" w:line="360" w:lineRule="auto"/>
        <w:contextualSpacing/>
      </w:pPr>
    </w:p>
    <w:p w14:paraId="308A0A93" w14:textId="68955974" w:rsidR="0026309E" w:rsidRPr="00CA2345" w:rsidRDefault="0026309E" w:rsidP="0026309E">
      <w:pPr>
        <w:rPr>
          <w:u w:val="single"/>
        </w:rPr>
      </w:pPr>
      <w:r w:rsidRPr="00CA2345">
        <w:t>Date:</w:t>
      </w:r>
      <w:r w:rsidR="004C7D8A">
        <w:t xml:space="preserve">  </w:t>
      </w:r>
      <w:r w:rsidR="00671E1C">
        <w:rPr>
          <w:u w:val="single"/>
        </w:rPr>
        <w:t xml:space="preserve"> September 1</w:t>
      </w:r>
      <w:r w:rsidR="00591BC0">
        <w:rPr>
          <w:u w:val="single"/>
        </w:rPr>
        <w:t>6</w:t>
      </w:r>
      <w:r w:rsidR="00671E1C">
        <w:rPr>
          <w:u w:val="single"/>
        </w:rPr>
        <w:t>, 2024</w:t>
      </w:r>
      <w:r w:rsidR="00CD39F6">
        <w:tab/>
      </w:r>
      <w:r w:rsidR="00671E1C">
        <w:tab/>
      </w:r>
      <w:r w:rsidR="00CD39F6">
        <w:tab/>
      </w:r>
      <w:bookmarkStart w:id="5" w:name="_Hlk177138141"/>
      <w:r w:rsidRPr="00CA2345">
        <w:tab/>
      </w:r>
      <w:r w:rsidRPr="00CA2345">
        <w:rPr>
          <w:u w:val="single"/>
        </w:rPr>
        <w:tab/>
      </w:r>
      <w:r w:rsidRPr="00CA2345">
        <w:rPr>
          <w:u w:val="single"/>
        </w:rPr>
        <w:tab/>
        <w:t>/s/</w:t>
      </w:r>
      <w:r w:rsidRPr="00CA2345">
        <w:rPr>
          <w:u w:val="single"/>
        </w:rPr>
        <w:tab/>
      </w:r>
      <w:r w:rsidRPr="00CA2345">
        <w:rPr>
          <w:u w:val="single"/>
        </w:rPr>
        <w:tab/>
      </w:r>
      <w:r w:rsidRPr="00CA2345">
        <w:rPr>
          <w:u w:val="single"/>
        </w:rPr>
        <w:tab/>
      </w:r>
      <w:r w:rsidRPr="00CA2345">
        <w:rPr>
          <w:u w:val="single"/>
        </w:rPr>
        <w:tab/>
      </w:r>
    </w:p>
    <w:p w14:paraId="3AC468B8" w14:textId="62929090" w:rsidR="0026309E" w:rsidRPr="00CA2345" w:rsidRDefault="0026309E" w:rsidP="0026309E">
      <w:r w:rsidRPr="00CA2345">
        <w:tab/>
      </w:r>
      <w:r w:rsidRPr="00CA2345">
        <w:tab/>
      </w:r>
      <w:r w:rsidRPr="00CA2345">
        <w:tab/>
      </w:r>
      <w:r w:rsidRPr="00CA2345">
        <w:tab/>
      </w:r>
      <w:r w:rsidRPr="00CA2345">
        <w:tab/>
      </w:r>
      <w:r w:rsidRPr="00CA2345">
        <w:tab/>
      </w:r>
      <w:r w:rsidRPr="00CA2345">
        <w:tab/>
      </w:r>
      <w:r w:rsidR="00C85A74">
        <w:t>John M. Coogan</w:t>
      </w:r>
    </w:p>
    <w:p w14:paraId="4308854E" w14:textId="06107443" w:rsidR="00177081" w:rsidRPr="00C85A74" w:rsidRDefault="0026309E" w:rsidP="00C85A74">
      <w:pPr>
        <w:sectPr w:rsidR="00177081" w:rsidRPr="00C85A74" w:rsidSect="00CA7980">
          <w:footerReference w:type="default" r:id="rId10"/>
          <w:pgSz w:w="12240" w:h="15840"/>
          <w:pgMar w:top="1440" w:right="1440" w:bottom="1440" w:left="1440" w:header="720" w:footer="720" w:gutter="0"/>
          <w:cols w:space="720"/>
          <w:titlePg/>
          <w:docGrid w:linePitch="360"/>
        </w:sectPr>
      </w:pPr>
      <w:r w:rsidRPr="00CA2345">
        <w:tab/>
      </w:r>
      <w:r w:rsidRPr="00CA2345">
        <w:tab/>
      </w:r>
      <w:r w:rsidRPr="00CA2345">
        <w:tab/>
      </w:r>
      <w:r w:rsidRPr="00CA2345">
        <w:tab/>
      </w:r>
      <w:r w:rsidRPr="00CA2345">
        <w:tab/>
      </w:r>
      <w:r w:rsidRPr="00CA2345">
        <w:tab/>
      </w:r>
      <w:r w:rsidRPr="00CA2345">
        <w:tab/>
        <w:t>Administrative Law Ju</w:t>
      </w:r>
      <w:r w:rsidR="00C85A74">
        <w:t>dge</w:t>
      </w:r>
    </w:p>
    <w:bookmarkEnd w:id="5"/>
    <w:p w14:paraId="61C59E50" w14:textId="77777777" w:rsidR="00E54965" w:rsidRDefault="00E54965" w:rsidP="002F302D">
      <w:pPr>
        <w:spacing w:after="160" w:line="259" w:lineRule="auto"/>
        <w:sectPr w:rsidR="00E54965" w:rsidSect="00CA7980">
          <w:type w:val="continuous"/>
          <w:pgSz w:w="12240" w:h="15840"/>
          <w:pgMar w:top="1440" w:right="1440" w:bottom="1440" w:left="1440" w:header="720" w:footer="720" w:gutter="0"/>
          <w:cols w:space="720"/>
          <w:docGrid w:linePitch="360"/>
        </w:sectPr>
      </w:pPr>
    </w:p>
    <w:p w14:paraId="2EC55484" w14:textId="77777777" w:rsidR="00E54965" w:rsidRDefault="00E54965" w:rsidP="00E54965">
      <w:pPr>
        <w:rPr>
          <w:rFonts w:ascii="Microsoft Sans Serif" w:eastAsia="Microsoft Sans Serif" w:hAnsi="Microsoft Sans Serif" w:cs="Microsoft Sans Serif"/>
          <w:b/>
          <w:u w:val="single"/>
        </w:rPr>
      </w:pPr>
      <w:r>
        <w:rPr>
          <w:rFonts w:ascii="Microsoft Sans Serif" w:eastAsia="Microsoft Sans Serif" w:hAnsi="Microsoft Sans Serif" w:cs="Microsoft Sans Serif"/>
          <w:b/>
          <w:u w:val="single"/>
        </w:rPr>
        <w:t>I-2019-3012769 - INVESTIGATION STATE ROUTE SR0268 &amp; SR0068</w:t>
      </w:r>
      <w:r>
        <w:rPr>
          <w:rFonts w:ascii="Microsoft Sans Serif" w:eastAsia="Microsoft Sans Serif" w:hAnsi="Microsoft Sans Serif" w:cs="Microsoft Sans Serif"/>
          <w:b/>
          <w:u w:val="single"/>
        </w:rPr>
        <w:cr/>
      </w:r>
      <w:r w:rsidRPr="00786A12">
        <w:rPr>
          <w:rFonts w:ascii="Microsoft Sans Serif" w:eastAsia="Microsoft Sans Serif" w:hAnsi="Microsoft Sans Serif" w:cs="Microsoft Sans Serif"/>
          <w:bCs/>
          <w:i/>
          <w:iCs/>
        </w:rPr>
        <w:t xml:space="preserve">Revised </w:t>
      </w:r>
      <w:r>
        <w:rPr>
          <w:rFonts w:ascii="Microsoft Sans Serif" w:eastAsia="Microsoft Sans Serif" w:hAnsi="Microsoft Sans Serif" w:cs="Microsoft Sans Serif"/>
          <w:bCs/>
          <w:i/>
          <w:iCs/>
        </w:rPr>
        <w:t>8</w:t>
      </w:r>
      <w:r w:rsidRPr="00786A12">
        <w:rPr>
          <w:rFonts w:ascii="Microsoft Sans Serif" w:eastAsia="Microsoft Sans Serif" w:hAnsi="Microsoft Sans Serif" w:cs="Microsoft Sans Serif"/>
          <w:bCs/>
          <w:i/>
          <w:iCs/>
        </w:rPr>
        <w:t>/</w:t>
      </w:r>
      <w:r>
        <w:rPr>
          <w:rFonts w:ascii="Microsoft Sans Serif" w:eastAsia="Microsoft Sans Serif" w:hAnsi="Microsoft Sans Serif" w:cs="Microsoft Sans Serif"/>
          <w:bCs/>
          <w:i/>
          <w:iCs/>
        </w:rPr>
        <w:t>15</w:t>
      </w:r>
      <w:r w:rsidRPr="00786A12">
        <w:rPr>
          <w:rFonts w:ascii="Microsoft Sans Serif" w:eastAsia="Microsoft Sans Serif" w:hAnsi="Microsoft Sans Serif" w:cs="Microsoft Sans Serif"/>
          <w:bCs/>
          <w:i/>
          <w:iCs/>
        </w:rPr>
        <w:t>/2024</w:t>
      </w:r>
    </w:p>
    <w:p w14:paraId="5FFEA404" w14:textId="7834BC7A" w:rsidR="00E54965" w:rsidRDefault="00E54965" w:rsidP="00E54965">
      <w:pPr>
        <w:rPr>
          <w:rFonts w:ascii="Microsoft Sans Serif" w:eastAsia="Microsoft Sans Serif" w:hAnsi="Microsoft Sans Serif" w:cs="Microsoft Sans Serif"/>
        </w:rPr>
      </w:pPr>
      <w:r>
        <w:rPr>
          <w:rFonts w:ascii="Microsoft Sans Serif" w:eastAsia="Microsoft Sans Serif" w:hAnsi="Microsoft Sans Serif" w:cs="Microsoft Sans Serif"/>
          <w:b/>
          <w:u w:val="single"/>
        </w:rPr>
        <w:cr/>
      </w:r>
      <w:r>
        <w:rPr>
          <w:rFonts w:ascii="Microsoft Sans Serif" w:eastAsia="Microsoft Sans Serif" w:hAnsi="Microsoft Sans Serif" w:cs="Microsoft Sans Serif"/>
        </w:rPr>
        <w:t>LEAH JO BOBULA ESQUIRE</w:t>
      </w:r>
    </w:p>
    <w:p w14:paraId="46E70485" w14:textId="77777777" w:rsidR="00E54965" w:rsidRDefault="00E54965" w:rsidP="00E54965">
      <w:pPr>
        <w:rPr>
          <w:rFonts w:ascii="Microsoft Sans Serif" w:eastAsia="Microsoft Sans Serif" w:hAnsi="Microsoft Sans Serif" w:cs="Microsoft Sans Serif"/>
        </w:rPr>
      </w:pPr>
      <w:r>
        <w:rPr>
          <w:rFonts w:ascii="Microsoft Sans Serif" w:eastAsia="Microsoft Sans Serif" w:hAnsi="Microsoft Sans Serif" w:cs="Microsoft Sans Serif"/>
        </w:rPr>
        <w:t xml:space="preserve">GOVERNOR'S OFFICE OF GENERAL COUNSEL </w:t>
      </w:r>
    </w:p>
    <w:p w14:paraId="27A53EB4" w14:textId="77777777" w:rsidR="00E54965" w:rsidRDefault="00E54965" w:rsidP="00E54965">
      <w:pPr>
        <w:rPr>
          <w:rFonts w:ascii="Microsoft Sans Serif" w:eastAsia="Microsoft Sans Serif" w:hAnsi="Microsoft Sans Serif" w:cs="Microsoft Sans Serif"/>
        </w:rPr>
      </w:pPr>
      <w:r>
        <w:rPr>
          <w:rFonts w:ascii="Microsoft Sans Serif" w:eastAsia="Microsoft Sans Serif" w:hAnsi="Microsoft Sans Serif" w:cs="Microsoft Sans Serif"/>
        </w:rPr>
        <w:t>PENNSYLVANIA DEPARTMENT OF TRANSPORTATION</w:t>
      </w:r>
      <w:r>
        <w:rPr>
          <w:rFonts w:ascii="Microsoft Sans Serif" w:eastAsia="Microsoft Sans Serif" w:hAnsi="Microsoft Sans Serif" w:cs="Microsoft Sans Serif"/>
        </w:rPr>
        <w:cr/>
        <w:t>400 NORTH STREET</w:t>
      </w:r>
      <w:r>
        <w:rPr>
          <w:rFonts w:ascii="Microsoft Sans Serif" w:eastAsia="Microsoft Sans Serif" w:hAnsi="Microsoft Sans Serif" w:cs="Microsoft Sans Serif"/>
        </w:rPr>
        <w:cr/>
        <w:t>HARRISBURG PA  17120</w:t>
      </w:r>
      <w:r>
        <w:rPr>
          <w:rFonts w:ascii="Microsoft Sans Serif" w:eastAsia="Microsoft Sans Serif" w:hAnsi="Microsoft Sans Serif" w:cs="Microsoft Sans Serif"/>
        </w:rPr>
        <w:cr/>
      </w:r>
      <w:r w:rsidRPr="000D77C7">
        <w:rPr>
          <w:rFonts w:ascii="Microsoft Sans Serif" w:eastAsia="Microsoft Sans Serif" w:hAnsi="Microsoft Sans Serif" w:cs="Microsoft Sans Serif"/>
          <w:b/>
          <w:bCs/>
        </w:rPr>
        <w:t>717.787.3128</w:t>
      </w:r>
      <w:r w:rsidRPr="000D77C7">
        <w:rPr>
          <w:rFonts w:ascii="Microsoft Sans Serif" w:eastAsia="Microsoft Sans Serif" w:hAnsi="Microsoft Sans Serif" w:cs="Microsoft Sans Serif"/>
          <w:b/>
          <w:bCs/>
        </w:rPr>
        <w:cr/>
      </w:r>
      <w:hyperlink r:id="rId11" w:history="1">
        <w:r w:rsidRPr="00F47766">
          <w:rPr>
            <w:rStyle w:val="Hyperlink"/>
            <w:rFonts w:ascii="Microsoft Sans Serif" w:eastAsia="Microsoft Sans Serif" w:hAnsi="Microsoft Sans Serif" w:cs="Microsoft Sans Serif"/>
          </w:rPr>
          <w:t>lbobula@pa.gov</w:t>
        </w:r>
      </w:hyperlink>
      <w:r>
        <w:rPr>
          <w:rFonts w:ascii="Microsoft Sans Serif" w:eastAsia="Microsoft Sans Serif" w:hAnsi="Microsoft Sans Serif" w:cs="Microsoft Sans Serif"/>
        </w:rPr>
        <w:t xml:space="preserve">  </w:t>
      </w:r>
      <w:r>
        <w:rPr>
          <w:rFonts w:ascii="Microsoft Sans Serif" w:eastAsia="Microsoft Sans Serif" w:hAnsi="Microsoft Sans Serif" w:cs="Microsoft Sans Serif"/>
        </w:rPr>
        <w:cr/>
        <w:t>Accepts eService</w:t>
      </w:r>
    </w:p>
    <w:p w14:paraId="096357CF" w14:textId="77777777" w:rsidR="00E54965" w:rsidRPr="00A265AE" w:rsidRDefault="00E54965" w:rsidP="00E54965">
      <w:pPr>
        <w:rPr>
          <w:i/>
          <w:iCs/>
        </w:rPr>
      </w:pPr>
      <w:r w:rsidRPr="00A265AE">
        <w:rPr>
          <w:rFonts w:ascii="Microsoft Sans Serif" w:eastAsia="Microsoft Sans Serif" w:hAnsi="Microsoft Sans Serif" w:cs="Microsoft Sans Serif"/>
          <w:i/>
          <w:iCs/>
        </w:rPr>
        <w:t>(Counsel for Pen</w:t>
      </w:r>
      <w:r>
        <w:rPr>
          <w:rFonts w:ascii="Microsoft Sans Serif" w:eastAsia="Microsoft Sans Serif" w:hAnsi="Microsoft Sans Serif" w:cs="Microsoft Sans Serif"/>
          <w:i/>
          <w:iCs/>
        </w:rPr>
        <w:t>n</w:t>
      </w:r>
      <w:r w:rsidRPr="00A265AE">
        <w:rPr>
          <w:rFonts w:ascii="Microsoft Sans Serif" w:eastAsia="Microsoft Sans Serif" w:hAnsi="Microsoft Sans Serif" w:cs="Microsoft Sans Serif"/>
          <w:i/>
          <w:iCs/>
        </w:rPr>
        <w:t>D</w:t>
      </w:r>
      <w:r>
        <w:rPr>
          <w:rFonts w:ascii="Microsoft Sans Serif" w:eastAsia="Microsoft Sans Serif" w:hAnsi="Microsoft Sans Serif" w:cs="Microsoft Sans Serif"/>
          <w:i/>
          <w:iCs/>
        </w:rPr>
        <w:t>OT</w:t>
      </w:r>
      <w:r w:rsidRPr="00A265AE">
        <w:rPr>
          <w:rFonts w:ascii="Microsoft Sans Serif" w:eastAsia="Microsoft Sans Serif" w:hAnsi="Microsoft Sans Serif" w:cs="Microsoft Sans Serif"/>
          <w:i/>
          <w:iCs/>
        </w:rPr>
        <w:t>)</w:t>
      </w:r>
    </w:p>
    <w:p w14:paraId="432C6090" w14:textId="77777777" w:rsidR="00E54965" w:rsidRDefault="00E54965" w:rsidP="00E54965">
      <w:pPr>
        <w:rPr>
          <w:rFonts w:ascii="Microsoft Sans Serif" w:eastAsia="Microsoft Sans Serif" w:hAnsi="Microsoft Sans Serif" w:cs="Microsoft Sans Serif"/>
        </w:rPr>
      </w:pPr>
    </w:p>
    <w:p w14:paraId="18814F47" w14:textId="77777777" w:rsidR="00E54965" w:rsidRDefault="00E54965" w:rsidP="00E54965">
      <w:pPr>
        <w:rPr>
          <w:rFonts w:ascii="Microsoft Sans Serif" w:eastAsia="Microsoft Sans Serif" w:hAnsi="Microsoft Sans Serif" w:cs="Microsoft Sans Serif"/>
        </w:rPr>
      </w:pPr>
      <w:r>
        <w:rPr>
          <w:rFonts w:ascii="Microsoft Sans Serif" w:eastAsia="Microsoft Sans Serif" w:hAnsi="Microsoft Sans Serif" w:cs="Microsoft Sans Serif"/>
        </w:rPr>
        <w:t>JOHN M STEIDLE ESQUIRE</w:t>
      </w:r>
      <w:r>
        <w:rPr>
          <w:rFonts w:ascii="Microsoft Sans Serif" w:eastAsia="Microsoft Sans Serif" w:hAnsi="Microsoft Sans Serif" w:cs="Microsoft Sans Serif"/>
        </w:rPr>
        <w:cr/>
        <w:t>BURNS WHITE LLC</w:t>
      </w:r>
      <w:r>
        <w:rPr>
          <w:rFonts w:ascii="Microsoft Sans Serif" w:eastAsia="Microsoft Sans Serif" w:hAnsi="Microsoft Sans Serif" w:cs="Microsoft Sans Serif"/>
        </w:rPr>
        <w:cr/>
        <w:t>BURNS WHITE CENTER</w:t>
      </w:r>
      <w:r>
        <w:rPr>
          <w:rFonts w:ascii="Microsoft Sans Serif" w:eastAsia="Microsoft Sans Serif" w:hAnsi="Microsoft Sans Serif" w:cs="Microsoft Sans Serif"/>
        </w:rPr>
        <w:cr/>
        <w:t>48 26TH STREET</w:t>
      </w:r>
      <w:r>
        <w:rPr>
          <w:rFonts w:ascii="Microsoft Sans Serif" w:eastAsia="Microsoft Sans Serif" w:hAnsi="Microsoft Sans Serif" w:cs="Microsoft Sans Serif"/>
        </w:rPr>
        <w:cr/>
        <w:t>PITTSBURGH PA  15222</w:t>
      </w:r>
      <w:r>
        <w:rPr>
          <w:rFonts w:ascii="Microsoft Sans Serif" w:eastAsia="Microsoft Sans Serif" w:hAnsi="Microsoft Sans Serif" w:cs="Microsoft Sans Serif"/>
        </w:rPr>
        <w:cr/>
      </w:r>
      <w:r w:rsidRPr="00876C65">
        <w:rPr>
          <w:rFonts w:ascii="Microsoft Sans Serif" w:eastAsia="Microsoft Sans Serif" w:hAnsi="Microsoft Sans Serif" w:cs="Microsoft Sans Serif"/>
          <w:b/>
          <w:bCs/>
        </w:rPr>
        <w:t>412</w:t>
      </w:r>
      <w:r>
        <w:rPr>
          <w:rFonts w:ascii="Microsoft Sans Serif" w:eastAsia="Microsoft Sans Serif" w:hAnsi="Microsoft Sans Serif" w:cs="Microsoft Sans Serif"/>
          <w:b/>
          <w:bCs/>
        </w:rPr>
        <w:t>.</w:t>
      </w:r>
      <w:r w:rsidRPr="00876C65">
        <w:rPr>
          <w:rFonts w:ascii="Microsoft Sans Serif" w:eastAsia="Microsoft Sans Serif" w:hAnsi="Microsoft Sans Serif" w:cs="Microsoft Sans Serif"/>
          <w:b/>
          <w:bCs/>
        </w:rPr>
        <w:t>995</w:t>
      </w:r>
      <w:r>
        <w:rPr>
          <w:rFonts w:ascii="Microsoft Sans Serif" w:eastAsia="Microsoft Sans Serif" w:hAnsi="Microsoft Sans Serif" w:cs="Microsoft Sans Serif"/>
          <w:b/>
          <w:bCs/>
        </w:rPr>
        <w:t>.</w:t>
      </w:r>
      <w:r w:rsidRPr="00876C65">
        <w:rPr>
          <w:rFonts w:ascii="Microsoft Sans Serif" w:eastAsia="Microsoft Sans Serif" w:hAnsi="Microsoft Sans Serif" w:cs="Microsoft Sans Serif"/>
          <w:b/>
          <w:bCs/>
        </w:rPr>
        <w:t>3106</w:t>
      </w:r>
      <w:r w:rsidRPr="00876C65">
        <w:rPr>
          <w:rFonts w:ascii="Microsoft Sans Serif" w:eastAsia="Microsoft Sans Serif" w:hAnsi="Microsoft Sans Serif" w:cs="Microsoft Sans Serif"/>
          <w:b/>
          <w:bCs/>
        </w:rPr>
        <w:cr/>
      </w:r>
      <w:hyperlink r:id="rId12" w:history="1">
        <w:r w:rsidRPr="00D458F8">
          <w:rPr>
            <w:rStyle w:val="Hyperlink"/>
            <w:rFonts w:ascii="Microsoft Sans Serif" w:eastAsia="Microsoft Sans Serif" w:hAnsi="Microsoft Sans Serif" w:cs="Microsoft Sans Serif"/>
          </w:rPr>
          <w:t>jmsteidle@burnswhite.com</w:t>
        </w:r>
      </w:hyperlink>
      <w:r>
        <w:rPr>
          <w:rFonts w:ascii="Microsoft Sans Serif" w:eastAsia="Microsoft Sans Serif" w:hAnsi="Microsoft Sans Serif" w:cs="Microsoft Sans Serif"/>
        </w:rPr>
        <w:t xml:space="preserve"> </w:t>
      </w:r>
      <w:r>
        <w:rPr>
          <w:rFonts w:ascii="Microsoft Sans Serif" w:eastAsia="Microsoft Sans Serif" w:hAnsi="Microsoft Sans Serif" w:cs="Microsoft Sans Serif"/>
        </w:rPr>
        <w:cr/>
        <w:t xml:space="preserve">Accepts eService </w:t>
      </w:r>
    </w:p>
    <w:p w14:paraId="33CB1DE7" w14:textId="77777777" w:rsidR="00E54965" w:rsidRDefault="00E54965" w:rsidP="00E54965">
      <w:pPr>
        <w:rPr>
          <w:rFonts w:ascii="Microsoft Sans Serif" w:eastAsia="Microsoft Sans Serif" w:hAnsi="Microsoft Sans Serif" w:cs="Microsoft Sans Serif"/>
          <w:i/>
          <w:iCs/>
        </w:rPr>
      </w:pPr>
    </w:p>
    <w:p w14:paraId="1246E8DC" w14:textId="77777777" w:rsidR="00E54965" w:rsidRPr="00CD3956" w:rsidRDefault="00E54965" w:rsidP="00E54965">
      <w:pPr>
        <w:rPr>
          <w:rFonts w:ascii="Microsoft Sans Serif" w:eastAsia="Microsoft Sans Serif" w:hAnsi="Microsoft Sans Serif" w:cs="Microsoft Sans Serif"/>
        </w:rPr>
      </w:pPr>
      <w:r w:rsidRPr="00CD3956">
        <w:rPr>
          <w:rFonts w:ascii="Microsoft Sans Serif" w:eastAsia="Microsoft Sans Serif" w:hAnsi="Microsoft Sans Serif" w:cs="Microsoft Sans Serif"/>
        </w:rPr>
        <w:t xml:space="preserve">GRANT ROSUL </w:t>
      </w:r>
      <w:r>
        <w:rPr>
          <w:rFonts w:ascii="Microsoft Sans Serif" w:eastAsia="Microsoft Sans Serif" w:hAnsi="Microsoft Sans Serif" w:cs="Microsoft Sans Serif"/>
        </w:rPr>
        <w:t>ESQUIRE</w:t>
      </w:r>
    </w:p>
    <w:p w14:paraId="455FED67" w14:textId="77777777" w:rsidR="00E54965" w:rsidRPr="00CD3956" w:rsidRDefault="00E54965" w:rsidP="00E54965">
      <w:pPr>
        <w:rPr>
          <w:rFonts w:ascii="Microsoft Sans Serif" w:eastAsia="Microsoft Sans Serif" w:hAnsi="Microsoft Sans Serif" w:cs="Microsoft Sans Serif"/>
        </w:rPr>
      </w:pPr>
      <w:r>
        <w:rPr>
          <w:rFonts w:ascii="Microsoft Sans Serif" w:eastAsia="Microsoft Sans Serif" w:hAnsi="Microsoft Sans Serif" w:cs="Microsoft Sans Serif"/>
        </w:rPr>
        <w:t xml:space="preserve">BUREAU OF INVESTIGATION AND ENFORCEMENT </w:t>
      </w:r>
    </w:p>
    <w:p w14:paraId="0C236C13" w14:textId="77777777" w:rsidR="00E54965" w:rsidRPr="00CD3956" w:rsidRDefault="00E54965" w:rsidP="00E54965">
      <w:pPr>
        <w:rPr>
          <w:rFonts w:ascii="Microsoft Sans Serif" w:eastAsia="Microsoft Sans Serif" w:hAnsi="Microsoft Sans Serif" w:cs="Microsoft Sans Serif"/>
        </w:rPr>
      </w:pPr>
      <w:r w:rsidRPr="00CD3956">
        <w:rPr>
          <w:rFonts w:ascii="Microsoft Sans Serif" w:eastAsia="Microsoft Sans Serif" w:hAnsi="Microsoft Sans Serif" w:cs="Microsoft Sans Serif"/>
        </w:rPr>
        <w:t xml:space="preserve">400 </w:t>
      </w:r>
      <w:r>
        <w:rPr>
          <w:rFonts w:ascii="Microsoft Sans Serif" w:eastAsia="Microsoft Sans Serif" w:hAnsi="Microsoft Sans Serif" w:cs="Microsoft Sans Serif"/>
        </w:rPr>
        <w:t>NORTH STREET</w:t>
      </w:r>
    </w:p>
    <w:p w14:paraId="45F5DEB5" w14:textId="77777777" w:rsidR="00E54965" w:rsidRPr="00CD3956" w:rsidRDefault="00E54965" w:rsidP="00E54965">
      <w:pPr>
        <w:rPr>
          <w:rFonts w:ascii="Microsoft Sans Serif" w:eastAsia="Microsoft Sans Serif" w:hAnsi="Microsoft Sans Serif" w:cs="Microsoft Sans Serif"/>
        </w:rPr>
      </w:pPr>
      <w:r w:rsidRPr="00CD3956">
        <w:rPr>
          <w:rFonts w:ascii="Microsoft Sans Serif" w:eastAsia="Microsoft Sans Serif" w:hAnsi="Microsoft Sans Serif" w:cs="Microsoft Sans Serif"/>
        </w:rPr>
        <w:t>3RD FLOOR</w:t>
      </w:r>
    </w:p>
    <w:p w14:paraId="046D9C60" w14:textId="77777777" w:rsidR="00E54965" w:rsidRPr="00CD3956" w:rsidRDefault="00E54965" w:rsidP="00E54965">
      <w:pPr>
        <w:rPr>
          <w:rFonts w:ascii="Microsoft Sans Serif" w:eastAsia="Microsoft Sans Serif" w:hAnsi="Microsoft Sans Serif" w:cs="Microsoft Sans Serif"/>
        </w:rPr>
      </w:pPr>
      <w:r w:rsidRPr="00CD3956">
        <w:rPr>
          <w:rFonts w:ascii="Microsoft Sans Serif" w:eastAsia="Microsoft Sans Serif" w:hAnsi="Microsoft Sans Serif" w:cs="Microsoft Sans Serif"/>
        </w:rPr>
        <w:t>HARRISBURG PA  17120</w:t>
      </w:r>
    </w:p>
    <w:p w14:paraId="7C14C173" w14:textId="77777777" w:rsidR="00E54965" w:rsidRPr="00CD3956" w:rsidRDefault="00E54965" w:rsidP="00E54965">
      <w:pPr>
        <w:rPr>
          <w:rFonts w:ascii="Microsoft Sans Serif" w:eastAsia="Microsoft Sans Serif" w:hAnsi="Microsoft Sans Serif" w:cs="Microsoft Sans Serif"/>
          <w:b/>
          <w:bCs/>
        </w:rPr>
      </w:pPr>
      <w:r w:rsidRPr="00CD3956">
        <w:rPr>
          <w:rFonts w:ascii="Microsoft Sans Serif" w:eastAsia="Microsoft Sans Serif" w:hAnsi="Microsoft Sans Serif" w:cs="Microsoft Sans Serif"/>
          <w:b/>
          <w:bCs/>
        </w:rPr>
        <w:t>717</w:t>
      </w:r>
      <w:r w:rsidRPr="00E127E2">
        <w:rPr>
          <w:rFonts w:ascii="Microsoft Sans Serif" w:eastAsia="Microsoft Sans Serif" w:hAnsi="Microsoft Sans Serif" w:cs="Microsoft Sans Serif"/>
          <w:b/>
          <w:bCs/>
        </w:rPr>
        <w:t>.</w:t>
      </w:r>
      <w:r w:rsidRPr="00CD3956">
        <w:rPr>
          <w:rFonts w:ascii="Microsoft Sans Serif" w:eastAsia="Microsoft Sans Serif" w:hAnsi="Microsoft Sans Serif" w:cs="Microsoft Sans Serif"/>
          <w:b/>
          <w:bCs/>
        </w:rPr>
        <w:t>783</w:t>
      </w:r>
      <w:r w:rsidRPr="00E127E2">
        <w:rPr>
          <w:rFonts w:ascii="Microsoft Sans Serif" w:eastAsia="Microsoft Sans Serif" w:hAnsi="Microsoft Sans Serif" w:cs="Microsoft Sans Serif"/>
          <w:b/>
          <w:bCs/>
        </w:rPr>
        <w:t>.</w:t>
      </w:r>
      <w:r w:rsidRPr="00CD3956">
        <w:rPr>
          <w:rFonts w:ascii="Microsoft Sans Serif" w:eastAsia="Microsoft Sans Serif" w:hAnsi="Microsoft Sans Serif" w:cs="Microsoft Sans Serif"/>
          <w:b/>
          <w:bCs/>
        </w:rPr>
        <w:t>5243</w:t>
      </w:r>
    </w:p>
    <w:p w14:paraId="434E49EB" w14:textId="77777777" w:rsidR="00E54965" w:rsidRPr="00CD3956" w:rsidRDefault="00E54965" w:rsidP="00E54965">
      <w:pPr>
        <w:rPr>
          <w:rFonts w:ascii="Microsoft Sans Serif" w:eastAsia="Microsoft Sans Serif" w:hAnsi="Microsoft Sans Serif" w:cs="Microsoft Sans Serif"/>
        </w:rPr>
      </w:pPr>
      <w:hyperlink r:id="rId13" w:history="1">
        <w:r w:rsidRPr="00CD3956">
          <w:rPr>
            <w:rStyle w:val="Hyperlink"/>
            <w:rFonts w:ascii="Microsoft Sans Serif" w:eastAsia="Microsoft Sans Serif" w:hAnsi="Microsoft Sans Serif" w:cs="Microsoft Sans Serif"/>
          </w:rPr>
          <w:t>grosul@pa.gov</w:t>
        </w:r>
      </w:hyperlink>
      <w:r>
        <w:rPr>
          <w:rFonts w:ascii="Microsoft Sans Serif" w:eastAsia="Microsoft Sans Serif" w:hAnsi="Microsoft Sans Serif" w:cs="Microsoft Sans Serif"/>
        </w:rPr>
        <w:t xml:space="preserve"> </w:t>
      </w:r>
    </w:p>
    <w:p w14:paraId="2D76A100" w14:textId="77777777" w:rsidR="00E54965" w:rsidRPr="00CD3956" w:rsidRDefault="00E54965" w:rsidP="00E54965">
      <w:pPr>
        <w:rPr>
          <w:rFonts w:ascii="Microsoft Sans Serif" w:eastAsia="Microsoft Sans Serif" w:hAnsi="Microsoft Sans Serif" w:cs="Microsoft Sans Serif"/>
        </w:rPr>
      </w:pPr>
      <w:r w:rsidRPr="00CD3956">
        <w:rPr>
          <w:rFonts w:ascii="Microsoft Sans Serif" w:eastAsia="Microsoft Sans Serif" w:hAnsi="Microsoft Sans Serif" w:cs="Microsoft Sans Serif"/>
        </w:rPr>
        <w:t xml:space="preserve">Accepts </w:t>
      </w:r>
      <w:r>
        <w:rPr>
          <w:rFonts w:ascii="Microsoft Sans Serif" w:eastAsia="Microsoft Sans Serif" w:hAnsi="Microsoft Sans Serif" w:cs="Microsoft Sans Serif"/>
        </w:rPr>
        <w:t>eService</w:t>
      </w:r>
    </w:p>
    <w:p w14:paraId="3B0B54AB" w14:textId="77777777" w:rsidR="00E54965" w:rsidRPr="00CD3956" w:rsidRDefault="00E54965" w:rsidP="00E54965">
      <w:pPr>
        <w:rPr>
          <w:rFonts w:ascii="Microsoft Sans Serif" w:eastAsia="Microsoft Sans Serif" w:hAnsi="Microsoft Sans Serif" w:cs="Microsoft Sans Serif"/>
          <w:i/>
          <w:iCs/>
        </w:rPr>
      </w:pPr>
    </w:p>
    <w:p w14:paraId="474AC1CC" w14:textId="286A61CE" w:rsidR="00A65A54" w:rsidRPr="00DD2487" w:rsidRDefault="00A65A54" w:rsidP="002F302D">
      <w:pPr>
        <w:spacing w:after="160" w:line="259" w:lineRule="auto"/>
      </w:pPr>
    </w:p>
    <w:sectPr w:rsidR="00A65A54" w:rsidRPr="00DD2487" w:rsidSect="00E54965">
      <w:footerReference w:type="default" r:id="rId1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71A8692" w14:textId="77777777" w:rsidR="00DB5E00" w:rsidRDefault="00DB5E00" w:rsidP="0061590E">
      <w:r>
        <w:separator/>
      </w:r>
    </w:p>
  </w:endnote>
  <w:endnote w:type="continuationSeparator" w:id="0">
    <w:p w14:paraId="1137B0C4" w14:textId="77777777" w:rsidR="00DB5E00" w:rsidRDefault="00DB5E00" w:rsidP="0061590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Microsoft Sans Serif">
    <w:panose1 w:val="020B0604020202020204"/>
    <w:charset w:val="00"/>
    <w:family w:val="swiss"/>
    <w:pitch w:val="variable"/>
    <w:sig w:usb0="E5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840741374"/>
      <w:docPartObj>
        <w:docPartGallery w:val="Page Numbers (Bottom of Page)"/>
        <w:docPartUnique/>
      </w:docPartObj>
    </w:sdtPr>
    <w:sdtEndPr>
      <w:rPr>
        <w:noProof/>
        <w:sz w:val="20"/>
        <w:szCs w:val="20"/>
      </w:rPr>
    </w:sdtEndPr>
    <w:sdtContent>
      <w:p w14:paraId="11CBBF02" w14:textId="77777777" w:rsidR="00F523CD" w:rsidRPr="00995180" w:rsidRDefault="00045E97">
        <w:pPr>
          <w:pStyle w:val="Footer"/>
          <w:jc w:val="center"/>
          <w:rPr>
            <w:sz w:val="20"/>
            <w:szCs w:val="20"/>
          </w:rPr>
        </w:pPr>
        <w:r w:rsidRPr="00995180">
          <w:rPr>
            <w:sz w:val="20"/>
            <w:szCs w:val="20"/>
          </w:rPr>
          <w:fldChar w:fldCharType="begin"/>
        </w:r>
        <w:r w:rsidRPr="00995180">
          <w:rPr>
            <w:sz w:val="20"/>
            <w:szCs w:val="20"/>
          </w:rPr>
          <w:instrText xml:space="preserve"> PAGE   \* MERGEFORMAT </w:instrText>
        </w:r>
        <w:r w:rsidRPr="00995180">
          <w:rPr>
            <w:sz w:val="20"/>
            <w:szCs w:val="20"/>
          </w:rPr>
          <w:fldChar w:fldCharType="separate"/>
        </w:r>
        <w:r w:rsidRPr="00995180">
          <w:rPr>
            <w:noProof/>
            <w:sz w:val="20"/>
            <w:szCs w:val="20"/>
          </w:rPr>
          <w:t>2</w:t>
        </w:r>
        <w:r w:rsidRPr="00995180">
          <w:rPr>
            <w:noProof/>
            <w:sz w:val="20"/>
            <w:szCs w:val="20"/>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A6521B1" w14:textId="00F130CC" w:rsidR="00E54965" w:rsidRPr="00995180" w:rsidRDefault="00E54965">
    <w:pPr>
      <w:pStyle w:val="Footer"/>
      <w:jc w:val="center"/>
      <w:rPr>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8CDFE0C" w14:textId="77777777" w:rsidR="00DB5E00" w:rsidRDefault="00DB5E00" w:rsidP="0061590E">
      <w:r>
        <w:separator/>
      </w:r>
    </w:p>
  </w:footnote>
  <w:footnote w:type="continuationSeparator" w:id="0">
    <w:p w14:paraId="010FFB5F" w14:textId="77777777" w:rsidR="00DB5E00" w:rsidRDefault="00DB5E00" w:rsidP="0061590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4D7263D8"/>
    <w:multiLevelType w:val="hybridMultilevel"/>
    <w:tmpl w:val="F8EAACF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598B7411"/>
    <w:multiLevelType w:val="hybridMultilevel"/>
    <w:tmpl w:val="0402F9EA"/>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num w:numId="1" w16cid:durableId="5389563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304772744">
    <w:abstractNumId w:val="0"/>
  </w:num>
  <w:num w:numId="3" w16cid:durableId="115194584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6309E"/>
    <w:rsid w:val="00002DCC"/>
    <w:rsid w:val="000140C9"/>
    <w:rsid w:val="000458B2"/>
    <w:rsid w:val="00045E97"/>
    <w:rsid w:val="00082429"/>
    <w:rsid w:val="000A1DE0"/>
    <w:rsid w:val="000D5332"/>
    <w:rsid w:val="000D6AB8"/>
    <w:rsid w:val="000E27C8"/>
    <w:rsid w:val="000E7FAE"/>
    <w:rsid w:val="000F6487"/>
    <w:rsid w:val="000F65D0"/>
    <w:rsid w:val="00110B75"/>
    <w:rsid w:val="0012308D"/>
    <w:rsid w:val="001640D7"/>
    <w:rsid w:val="00177081"/>
    <w:rsid w:val="0019192F"/>
    <w:rsid w:val="001B31D5"/>
    <w:rsid w:val="001E39BA"/>
    <w:rsid w:val="001E7343"/>
    <w:rsid w:val="00213187"/>
    <w:rsid w:val="0026309E"/>
    <w:rsid w:val="00296078"/>
    <w:rsid w:val="002B265D"/>
    <w:rsid w:val="002C3E93"/>
    <w:rsid w:val="002D4A58"/>
    <w:rsid w:val="002F302D"/>
    <w:rsid w:val="0030523E"/>
    <w:rsid w:val="00405955"/>
    <w:rsid w:val="00423EB3"/>
    <w:rsid w:val="0043191C"/>
    <w:rsid w:val="00432B6B"/>
    <w:rsid w:val="00441B2C"/>
    <w:rsid w:val="004503C7"/>
    <w:rsid w:val="004563A2"/>
    <w:rsid w:val="00480E61"/>
    <w:rsid w:val="0048101F"/>
    <w:rsid w:val="00484EF6"/>
    <w:rsid w:val="004C7D8A"/>
    <w:rsid w:val="004D163E"/>
    <w:rsid w:val="004F5024"/>
    <w:rsid w:val="00514FFB"/>
    <w:rsid w:val="00521E7C"/>
    <w:rsid w:val="0053229C"/>
    <w:rsid w:val="005376DA"/>
    <w:rsid w:val="0055046D"/>
    <w:rsid w:val="00591BC0"/>
    <w:rsid w:val="005B0464"/>
    <w:rsid w:val="005B0F11"/>
    <w:rsid w:val="005C1418"/>
    <w:rsid w:val="005F0BF5"/>
    <w:rsid w:val="00605761"/>
    <w:rsid w:val="0061590E"/>
    <w:rsid w:val="006373F3"/>
    <w:rsid w:val="00644943"/>
    <w:rsid w:val="0066242D"/>
    <w:rsid w:val="0066669E"/>
    <w:rsid w:val="00671E1C"/>
    <w:rsid w:val="00682214"/>
    <w:rsid w:val="006B3DA9"/>
    <w:rsid w:val="006B62C5"/>
    <w:rsid w:val="006B6F94"/>
    <w:rsid w:val="007224B3"/>
    <w:rsid w:val="00731D61"/>
    <w:rsid w:val="007635B4"/>
    <w:rsid w:val="00781A38"/>
    <w:rsid w:val="00792FD5"/>
    <w:rsid w:val="007B5F00"/>
    <w:rsid w:val="007F4C53"/>
    <w:rsid w:val="00810713"/>
    <w:rsid w:val="00813FB6"/>
    <w:rsid w:val="008373E0"/>
    <w:rsid w:val="008723B7"/>
    <w:rsid w:val="00890115"/>
    <w:rsid w:val="008A594B"/>
    <w:rsid w:val="008B71BA"/>
    <w:rsid w:val="008D6854"/>
    <w:rsid w:val="008F350A"/>
    <w:rsid w:val="00901F50"/>
    <w:rsid w:val="00911F81"/>
    <w:rsid w:val="009131A9"/>
    <w:rsid w:val="00921260"/>
    <w:rsid w:val="00926E2C"/>
    <w:rsid w:val="0093081E"/>
    <w:rsid w:val="009A60C5"/>
    <w:rsid w:val="009D4D85"/>
    <w:rsid w:val="009F3134"/>
    <w:rsid w:val="00A05623"/>
    <w:rsid w:val="00A16D7A"/>
    <w:rsid w:val="00A606D3"/>
    <w:rsid w:val="00A65A54"/>
    <w:rsid w:val="00A66D4D"/>
    <w:rsid w:val="00A81F05"/>
    <w:rsid w:val="00AA4940"/>
    <w:rsid w:val="00AA5F9B"/>
    <w:rsid w:val="00AB394C"/>
    <w:rsid w:val="00AF5D0D"/>
    <w:rsid w:val="00AF655C"/>
    <w:rsid w:val="00B55126"/>
    <w:rsid w:val="00B6772D"/>
    <w:rsid w:val="00BD1B7F"/>
    <w:rsid w:val="00BE1565"/>
    <w:rsid w:val="00C211B9"/>
    <w:rsid w:val="00C40821"/>
    <w:rsid w:val="00C45975"/>
    <w:rsid w:val="00C60F66"/>
    <w:rsid w:val="00C6268A"/>
    <w:rsid w:val="00C67461"/>
    <w:rsid w:val="00C72FD6"/>
    <w:rsid w:val="00C83D66"/>
    <w:rsid w:val="00C85A74"/>
    <w:rsid w:val="00CA0386"/>
    <w:rsid w:val="00CA41A9"/>
    <w:rsid w:val="00CA7980"/>
    <w:rsid w:val="00CB6283"/>
    <w:rsid w:val="00CB6362"/>
    <w:rsid w:val="00CD21B3"/>
    <w:rsid w:val="00CD39F6"/>
    <w:rsid w:val="00D15870"/>
    <w:rsid w:val="00D35D40"/>
    <w:rsid w:val="00D656CD"/>
    <w:rsid w:val="00DB5E00"/>
    <w:rsid w:val="00DD2487"/>
    <w:rsid w:val="00DD3F62"/>
    <w:rsid w:val="00DE280C"/>
    <w:rsid w:val="00DF3D45"/>
    <w:rsid w:val="00DF50E6"/>
    <w:rsid w:val="00E0492D"/>
    <w:rsid w:val="00E15356"/>
    <w:rsid w:val="00E21C99"/>
    <w:rsid w:val="00E54965"/>
    <w:rsid w:val="00E55212"/>
    <w:rsid w:val="00E60C94"/>
    <w:rsid w:val="00EA013F"/>
    <w:rsid w:val="00EA603A"/>
    <w:rsid w:val="00EB244D"/>
    <w:rsid w:val="00F362CE"/>
    <w:rsid w:val="00F523CD"/>
    <w:rsid w:val="00F719D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E139BB"/>
  <w15:chartTrackingRefBased/>
  <w15:docId w15:val="{2559CD73-986C-4B46-902F-C4C1C72E9E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6309E"/>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DD2487"/>
    <w:pPr>
      <w:keepNext/>
      <w:jc w:val="center"/>
      <w:outlineLvl w:val="0"/>
    </w:pPr>
    <w:rPr>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6309E"/>
    <w:pPr>
      <w:ind w:left="720"/>
      <w:contextualSpacing/>
    </w:pPr>
  </w:style>
  <w:style w:type="paragraph" w:styleId="Revision">
    <w:name w:val="Revision"/>
    <w:hidden/>
    <w:uiPriority w:val="99"/>
    <w:semiHidden/>
    <w:rsid w:val="00110B75"/>
    <w:pPr>
      <w:spacing w:after="0" w:line="240" w:lineRule="auto"/>
    </w:pPr>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A65A54"/>
    <w:pPr>
      <w:tabs>
        <w:tab w:val="center" w:pos="4680"/>
        <w:tab w:val="right" w:pos="9360"/>
      </w:tabs>
    </w:pPr>
  </w:style>
  <w:style w:type="character" w:customStyle="1" w:styleId="FooterChar">
    <w:name w:val="Footer Char"/>
    <w:basedOn w:val="DefaultParagraphFont"/>
    <w:link w:val="Footer"/>
    <w:uiPriority w:val="99"/>
    <w:rsid w:val="00A65A54"/>
    <w:rPr>
      <w:rFonts w:ascii="Times New Roman" w:eastAsia="Times New Roman" w:hAnsi="Times New Roman" w:cs="Times New Roman"/>
      <w:sz w:val="24"/>
      <w:szCs w:val="24"/>
    </w:rPr>
  </w:style>
  <w:style w:type="character" w:styleId="Hyperlink">
    <w:name w:val="Hyperlink"/>
    <w:basedOn w:val="DefaultParagraphFont"/>
    <w:uiPriority w:val="99"/>
    <w:unhideWhenUsed/>
    <w:rsid w:val="00A65A54"/>
    <w:rPr>
      <w:color w:val="0563C1" w:themeColor="hyperlink"/>
      <w:u w:val="single"/>
    </w:rPr>
  </w:style>
  <w:style w:type="paragraph" w:styleId="Header">
    <w:name w:val="header"/>
    <w:basedOn w:val="Normal"/>
    <w:link w:val="HeaderChar"/>
    <w:uiPriority w:val="99"/>
    <w:unhideWhenUsed/>
    <w:rsid w:val="0061590E"/>
    <w:pPr>
      <w:tabs>
        <w:tab w:val="center" w:pos="4680"/>
        <w:tab w:val="right" w:pos="9360"/>
      </w:tabs>
    </w:pPr>
  </w:style>
  <w:style w:type="character" w:customStyle="1" w:styleId="HeaderChar">
    <w:name w:val="Header Char"/>
    <w:basedOn w:val="DefaultParagraphFont"/>
    <w:link w:val="Header"/>
    <w:uiPriority w:val="99"/>
    <w:rsid w:val="0061590E"/>
    <w:rPr>
      <w:rFonts w:ascii="Times New Roman" w:eastAsia="Times New Roman" w:hAnsi="Times New Roman" w:cs="Times New Roman"/>
      <w:sz w:val="24"/>
      <w:szCs w:val="24"/>
    </w:rPr>
  </w:style>
  <w:style w:type="character" w:styleId="CommentReference">
    <w:name w:val="annotation reference"/>
    <w:basedOn w:val="DefaultParagraphFont"/>
    <w:uiPriority w:val="99"/>
    <w:semiHidden/>
    <w:unhideWhenUsed/>
    <w:rsid w:val="00C211B9"/>
    <w:rPr>
      <w:sz w:val="16"/>
      <w:szCs w:val="16"/>
    </w:rPr>
  </w:style>
  <w:style w:type="paragraph" w:styleId="CommentText">
    <w:name w:val="annotation text"/>
    <w:basedOn w:val="Normal"/>
    <w:link w:val="CommentTextChar"/>
    <w:uiPriority w:val="99"/>
    <w:unhideWhenUsed/>
    <w:rsid w:val="00C211B9"/>
    <w:rPr>
      <w:sz w:val="20"/>
      <w:szCs w:val="20"/>
    </w:rPr>
  </w:style>
  <w:style w:type="character" w:customStyle="1" w:styleId="CommentTextChar">
    <w:name w:val="Comment Text Char"/>
    <w:basedOn w:val="DefaultParagraphFont"/>
    <w:link w:val="CommentText"/>
    <w:uiPriority w:val="99"/>
    <w:rsid w:val="00C211B9"/>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C211B9"/>
    <w:rPr>
      <w:b/>
      <w:bCs/>
    </w:rPr>
  </w:style>
  <w:style w:type="character" w:customStyle="1" w:styleId="CommentSubjectChar">
    <w:name w:val="Comment Subject Char"/>
    <w:basedOn w:val="CommentTextChar"/>
    <w:link w:val="CommentSubject"/>
    <w:uiPriority w:val="99"/>
    <w:semiHidden/>
    <w:rsid w:val="00C211B9"/>
    <w:rPr>
      <w:rFonts w:ascii="Times New Roman" w:eastAsia="Times New Roman" w:hAnsi="Times New Roman" w:cs="Times New Roman"/>
      <w:b/>
      <w:bCs/>
      <w:sz w:val="20"/>
      <w:szCs w:val="20"/>
    </w:rPr>
  </w:style>
  <w:style w:type="paragraph" w:styleId="BodyTextIndent">
    <w:name w:val="Body Text Indent"/>
    <w:basedOn w:val="Normal"/>
    <w:link w:val="BodyTextIndentChar"/>
    <w:rsid w:val="002F302D"/>
    <w:pPr>
      <w:widowControl w:val="0"/>
      <w:autoSpaceDE w:val="0"/>
      <w:autoSpaceDN w:val="0"/>
      <w:spacing w:line="360" w:lineRule="auto"/>
      <w:ind w:firstLine="1440"/>
    </w:pPr>
    <w:rPr>
      <w:rFonts w:ascii="CG Times" w:hAnsi="CG Times" w:cs="CG Times"/>
      <w:sz w:val="26"/>
      <w:szCs w:val="26"/>
    </w:rPr>
  </w:style>
  <w:style w:type="character" w:customStyle="1" w:styleId="BodyTextIndentChar">
    <w:name w:val="Body Text Indent Char"/>
    <w:basedOn w:val="DefaultParagraphFont"/>
    <w:link w:val="BodyTextIndent"/>
    <w:rsid w:val="002F302D"/>
    <w:rPr>
      <w:rFonts w:ascii="CG Times" w:eastAsia="Times New Roman" w:hAnsi="CG Times" w:cs="CG Times"/>
      <w:sz w:val="26"/>
      <w:szCs w:val="26"/>
    </w:rPr>
  </w:style>
  <w:style w:type="character" w:customStyle="1" w:styleId="Heading1Char">
    <w:name w:val="Heading 1 Char"/>
    <w:basedOn w:val="DefaultParagraphFont"/>
    <w:link w:val="Heading1"/>
    <w:rsid w:val="00DD2487"/>
    <w:rPr>
      <w:rFonts w:ascii="Times New Roman" w:eastAsia="Times New Roman" w:hAnsi="Times New Roman" w:cs="Times New Roman"/>
      <w:sz w:val="24"/>
      <w:szCs w:val="24"/>
      <w:u w:val="single"/>
    </w:rPr>
  </w:style>
  <w:style w:type="table" w:styleId="TableGrid">
    <w:name w:val="Table Grid"/>
    <w:basedOn w:val="TableNormal"/>
    <w:rsid w:val="00C85A74"/>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C85A74"/>
    <w:pPr>
      <w:autoSpaceDE w:val="0"/>
      <w:autoSpaceDN w:val="0"/>
    </w:pPr>
    <w:rPr>
      <w:sz w:val="20"/>
      <w:szCs w:val="20"/>
    </w:rPr>
  </w:style>
  <w:style w:type="character" w:customStyle="1" w:styleId="FootnoteTextChar">
    <w:name w:val="Footnote Text Char"/>
    <w:basedOn w:val="DefaultParagraphFont"/>
    <w:link w:val="FootnoteText"/>
    <w:uiPriority w:val="99"/>
    <w:semiHidden/>
    <w:rsid w:val="00C85A74"/>
    <w:rPr>
      <w:rFonts w:ascii="Times New Roman" w:eastAsia="Times New Roman" w:hAnsi="Times New Roman" w:cs="Times New Roman"/>
      <w:sz w:val="20"/>
      <w:szCs w:val="20"/>
    </w:rPr>
  </w:style>
  <w:style w:type="character" w:styleId="FootnoteReference">
    <w:name w:val="footnote reference"/>
    <w:basedOn w:val="DefaultParagraphFont"/>
    <w:uiPriority w:val="99"/>
    <w:semiHidden/>
    <w:unhideWhenUsed/>
    <w:rsid w:val="00C85A74"/>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195340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grosul@pa.gov"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jmsteidle@burnswhite.com"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lbobula@pa.gov" TargetMode="Externa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21FF48BB0271D9478F7E6B41F855C9D2" ma:contentTypeVersion="6" ma:contentTypeDescription="Create a new document." ma:contentTypeScope="" ma:versionID="600d4be313741480d30953c4fe703689">
  <xsd:schema xmlns:xsd="http://www.w3.org/2001/XMLSchema" xmlns:xs="http://www.w3.org/2001/XMLSchema" xmlns:p="http://schemas.microsoft.com/office/2006/metadata/properties" xmlns:ns3="d5a66a17-d992-4060-926f-c4156df1703c" targetNamespace="http://schemas.microsoft.com/office/2006/metadata/properties" ma:root="true" ma:fieldsID="b0988fd5e360a236752f5779270cf07a" ns3:_="">
    <xsd:import namespace="d5a66a17-d992-4060-926f-c4156df1703c"/>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GenerationTime" minOccurs="0"/>
                <xsd:element ref="ns3:MediaServiceEventHashCode"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5a66a17-d992-4060-926f-c4156df1703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ED50E82-C0D2-49D4-958E-D71A2EB9D7E1}">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FC463ECB-C992-404E-A7FC-A28F94A1329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5a66a17-d992-4060-926f-c4156df170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C9D7C82-BFF8-440B-A7E2-638C15123EC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889</Words>
  <Characters>5069</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Pell, Christopher</dc:creator>
  <cp:keywords/>
  <dc:description/>
  <cp:lastModifiedBy>Williams, Bobbie Jo</cp:lastModifiedBy>
  <cp:revision>2</cp:revision>
  <dcterms:created xsi:type="dcterms:W3CDTF">2024-09-16T15:43:00Z</dcterms:created>
  <dcterms:modified xsi:type="dcterms:W3CDTF">2024-09-16T15:43:00Z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0x01010021FF48BB0271D9478F7E6B41F855C9D2</vt:lpwstr>
  </property>
</Properties>
</file>