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1454" w14:textId="77777777" w:rsidR="00F36671" w:rsidRPr="00ED3040" w:rsidRDefault="00F36671" w:rsidP="00F36671">
      <w:pPr>
        <w:jc w:val="center"/>
        <w:rPr>
          <w:b/>
          <w:sz w:val="26"/>
          <w:szCs w:val="26"/>
        </w:rPr>
      </w:pPr>
      <w:r w:rsidRPr="00ED3040">
        <w:rPr>
          <w:b/>
          <w:sz w:val="26"/>
          <w:szCs w:val="26"/>
        </w:rPr>
        <w:t>BEFORE THE</w:t>
      </w:r>
    </w:p>
    <w:p w14:paraId="477B91AA" w14:textId="77777777" w:rsidR="00F36671" w:rsidRPr="00ED3040" w:rsidRDefault="00F36671" w:rsidP="00F36671">
      <w:pPr>
        <w:jc w:val="center"/>
        <w:rPr>
          <w:b/>
          <w:sz w:val="26"/>
          <w:szCs w:val="26"/>
        </w:rPr>
      </w:pPr>
      <w:r w:rsidRPr="00ED3040">
        <w:rPr>
          <w:b/>
          <w:sz w:val="26"/>
          <w:szCs w:val="26"/>
        </w:rPr>
        <w:t>PENNSYLVANIA PUBLIC UTILITY COMMISSION</w:t>
      </w:r>
    </w:p>
    <w:p w14:paraId="6A8FF49B" w14:textId="77777777" w:rsidR="00F36671" w:rsidRPr="00ED3040" w:rsidRDefault="00F36671" w:rsidP="00F010F8">
      <w:pPr>
        <w:rPr>
          <w:sz w:val="26"/>
          <w:szCs w:val="26"/>
        </w:rPr>
      </w:pPr>
    </w:p>
    <w:p w14:paraId="2FA7D3F3" w14:textId="77777777" w:rsidR="00F36671" w:rsidRPr="00ED3040" w:rsidRDefault="00F36671" w:rsidP="00F010F8">
      <w:pPr>
        <w:rPr>
          <w:sz w:val="26"/>
          <w:szCs w:val="26"/>
        </w:rPr>
      </w:pPr>
    </w:p>
    <w:p w14:paraId="547ACB7F" w14:textId="77777777" w:rsidR="00F36671" w:rsidRPr="00ED3040" w:rsidRDefault="00F36671" w:rsidP="00F010F8">
      <w:pPr>
        <w:rPr>
          <w:sz w:val="26"/>
          <w:szCs w:val="26"/>
        </w:rPr>
      </w:pPr>
    </w:p>
    <w:p w14:paraId="05DDA626" w14:textId="77777777" w:rsidR="00F36671" w:rsidRPr="00ED3040" w:rsidRDefault="00F36671" w:rsidP="00F36671">
      <w:pPr>
        <w:rPr>
          <w:sz w:val="26"/>
          <w:szCs w:val="26"/>
        </w:rPr>
      </w:pPr>
      <w:r w:rsidRPr="00ED3040">
        <w:rPr>
          <w:sz w:val="26"/>
          <w:szCs w:val="26"/>
        </w:rPr>
        <w:t>Victor Ruffin</w:t>
      </w:r>
      <w:r w:rsidRPr="00ED3040">
        <w:rPr>
          <w:sz w:val="26"/>
          <w:szCs w:val="26"/>
        </w:rPr>
        <w:tab/>
      </w:r>
      <w:r w:rsidRPr="00ED3040">
        <w:rPr>
          <w:sz w:val="26"/>
          <w:szCs w:val="26"/>
        </w:rPr>
        <w:tab/>
      </w:r>
      <w:r w:rsidRPr="00ED3040">
        <w:rPr>
          <w:sz w:val="26"/>
          <w:szCs w:val="26"/>
        </w:rPr>
        <w:tab/>
      </w:r>
      <w:r w:rsidRPr="00ED3040">
        <w:rPr>
          <w:sz w:val="26"/>
          <w:szCs w:val="26"/>
        </w:rPr>
        <w:tab/>
      </w:r>
      <w:r w:rsidRPr="00ED3040">
        <w:rPr>
          <w:sz w:val="26"/>
          <w:szCs w:val="26"/>
        </w:rPr>
        <w:tab/>
        <w:t>:</w:t>
      </w:r>
    </w:p>
    <w:p w14:paraId="233BBF92" w14:textId="77777777" w:rsidR="00F36671" w:rsidRPr="00ED3040" w:rsidRDefault="00F36671" w:rsidP="00F36671">
      <w:pPr>
        <w:ind w:left="3600" w:firstLine="720"/>
        <w:rPr>
          <w:sz w:val="26"/>
          <w:szCs w:val="26"/>
        </w:rPr>
      </w:pPr>
      <w:r w:rsidRPr="00ED3040">
        <w:rPr>
          <w:sz w:val="26"/>
          <w:szCs w:val="26"/>
        </w:rPr>
        <w:t>:</w:t>
      </w:r>
    </w:p>
    <w:p w14:paraId="46310D9E" w14:textId="13FC5922" w:rsidR="00F36671" w:rsidRPr="00ED3040" w:rsidRDefault="00F36671" w:rsidP="00CD0076">
      <w:pPr>
        <w:ind w:firstLine="720"/>
        <w:rPr>
          <w:sz w:val="26"/>
          <w:szCs w:val="26"/>
        </w:rPr>
      </w:pPr>
      <w:r w:rsidRPr="00ED3040">
        <w:rPr>
          <w:sz w:val="26"/>
          <w:szCs w:val="26"/>
        </w:rPr>
        <w:t>v.</w:t>
      </w:r>
      <w:r w:rsidRPr="00ED3040">
        <w:rPr>
          <w:sz w:val="26"/>
          <w:szCs w:val="26"/>
        </w:rPr>
        <w:tab/>
      </w:r>
      <w:r w:rsidRPr="00ED3040">
        <w:rPr>
          <w:sz w:val="26"/>
          <w:szCs w:val="26"/>
        </w:rPr>
        <w:tab/>
      </w:r>
      <w:r w:rsidRPr="00ED3040">
        <w:rPr>
          <w:sz w:val="26"/>
          <w:szCs w:val="26"/>
        </w:rPr>
        <w:tab/>
      </w:r>
      <w:r w:rsidRPr="00ED3040">
        <w:rPr>
          <w:sz w:val="26"/>
          <w:szCs w:val="26"/>
        </w:rPr>
        <w:tab/>
      </w:r>
      <w:r w:rsidRPr="00ED3040">
        <w:rPr>
          <w:sz w:val="26"/>
          <w:szCs w:val="26"/>
        </w:rPr>
        <w:tab/>
        <w:t>:</w:t>
      </w:r>
      <w:r w:rsidRPr="00ED3040">
        <w:rPr>
          <w:sz w:val="26"/>
          <w:szCs w:val="26"/>
        </w:rPr>
        <w:tab/>
      </w:r>
      <w:r w:rsidRPr="00ED3040">
        <w:rPr>
          <w:sz w:val="26"/>
          <w:szCs w:val="26"/>
        </w:rPr>
        <w:tab/>
        <w:t>C-2023-3042219</w:t>
      </w:r>
    </w:p>
    <w:p w14:paraId="62E44E79" w14:textId="7E2E6490" w:rsidR="00F36671" w:rsidRPr="00ED3040" w:rsidRDefault="00CD0076" w:rsidP="00F36671">
      <w:pPr>
        <w:ind w:left="3600" w:firstLine="720"/>
        <w:rPr>
          <w:sz w:val="26"/>
          <w:szCs w:val="26"/>
        </w:rPr>
      </w:pPr>
      <w:r>
        <w:rPr>
          <w:sz w:val="26"/>
          <w:szCs w:val="26"/>
        </w:rPr>
        <w:t>:</w:t>
      </w:r>
    </w:p>
    <w:p w14:paraId="6BA35D42" w14:textId="77777777" w:rsidR="00F36671" w:rsidRPr="00ED3040" w:rsidRDefault="00F36671" w:rsidP="00F36671">
      <w:pPr>
        <w:rPr>
          <w:sz w:val="26"/>
          <w:szCs w:val="26"/>
        </w:rPr>
      </w:pPr>
      <w:r w:rsidRPr="00ED3040">
        <w:rPr>
          <w:sz w:val="26"/>
          <w:szCs w:val="26"/>
        </w:rPr>
        <w:t>Philadelphia Gas Works</w:t>
      </w:r>
      <w:r w:rsidRPr="00ED3040">
        <w:rPr>
          <w:sz w:val="26"/>
          <w:szCs w:val="26"/>
        </w:rPr>
        <w:tab/>
      </w:r>
      <w:r w:rsidRPr="00ED3040">
        <w:rPr>
          <w:sz w:val="26"/>
          <w:szCs w:val="26"/>
        </w:rPr>
        <w:tab/>
      </w:r>
      <w:r w:rsidRPr="00ED3040">
        <w:rPr>
          <w:sz w:val="26"/>
          <w:szCs w:val="26"/>
        </w:rPr>
        <w:tab/>
        <w:t>:</w:t>
      </w:r>
    </w:p>
    <w:p w14:paraId="753D9CFE" w14:textId="77777777" w:rsidR="00F36671" w:rsidRPr="00ED3040" w:rsidRDefault="00F36671" w:rsidP="00F010F8">
      <w:pPr>
        <w:rPr>
          <w:sz w:val="26"/>
          <w:szCs w:val="26"/>
        </w:rPr>
      </w:pPr>
    </w:p>
    <w:p w14:paraId="57BCAB64" w14:textId="77777777" w:rsidR="00F36671" w:rsidRPr="00ED3040" w:rsidRDefault="00F36671" w:rsidP="00F010F8">
      <w:pPr>
        <w:rPr>
          <w:sz w:val="26"/>
          <w:szCs w:val="26"/>
        </w:rPr>
      </w:pPr>
    </w:p>
    <w:p w14:paraId="7C08038D" w14:textId="77777777" w:rsidR="00F36671" w:rsidRPr="00ED3040" w:rsidRDefault="00F36671" w:rsidP="00F010F8">
      <w:pPr>
        <w:rPr>
          <w:sz w:val="26"/>
          <w:szCs w:val="26"/>
        </w:rPr>
      </w:pPr>
    </w:p>
    <w:p w14:paraId="5A7D2B76" w14:textId="7326899A" w:rsidR="00F36671" w:rsidRPr="00ED3040" w:rsidRDefault="00F36671" w:rsidP="00F36671">
      <w:pPr>
        <w:jc w:val="center"/>
        <w:rPr>
          <w:b/>
          <w:sz w:val="26"/>
          <w:szCs w:val="26"/>
        </w:rPr>
      </w:pPr>
      <w:bookmarkStart w:id="0" w:name="_Hlk54619669"/>
      <w:r>
        <w:rPr>
          <w:b/>
          <w:sz w:val="26"/>
          <w:szCs w:val="26"/>
        </w:rPr>
        <w:t xml:space="preserve">CORRECTED </w:t>
      </w:r>
      <w:r w:rsidRPr="00ED3040">
        <w:rPr>
          <w:b/>
          <w:sz w:val="26"/>
          <w:szCs w:val="26"/>
        </w:rPr>
        <w:t>INTERIM ORDER</w:t>
      </w:r>
    </w:p>
    <w:bookmarkEnd w:id="0"/>
    <w:p w14:paraId="0EF935CC" w14:textId="77777777" w:rsidR="00F36671" w:rsidRPr="00ED3040" w:rsidRDefault="00F36671" w:rsidP="00F36671">
      <w:pPr>
        <w:jc w:val="center"/>
        <w:rPr>
          <w:b/>
          <w:sz w:val="26"/>
          <w:szCs w:val="26"/>
          <w:u w:val="single"/>
        </w:rPr>
      </w:pPr>
      <w:r>
        <w:rPr>
          <w:b/>
          <w:sz w:val="26"/>
          <w:szCs w:val="26"/>
          <w:u w:val="single"/>
        </w:rPr>
        <w:t>CLOSING THE RECORD</w:t>
      </w:r>
    </w:p>
    <w:p w14:paraId="0991841E" w14:textId="77777777" w:rsidR="00F36671" w:rsidRPr="00ED3040" w:rsidRDefault="00F36671" w:rsidP="00F36671">
      <w:pPr>
        <w:spacing w:line="360" w:lineRule="auto"/>
        <w:rPr>
          <w:sz w:val="26"/>
          <w:szCs w:val="26"/>
        </w:rPr>
      </w:pPr>
    </w:p>
    <w:p w14:paraId="2E861E6F" w14:textId="77777777" w:rsidR="00F36671" w:rsidRPr="00ED3040" w:rsidRDefault="00F36671" w:rsidP="00F36671">
      <w:pPr>
        <w:spacing w:line="360" w:lineRule="auto"/>
        <w:ind w:firstLine="1350"/>
        <w:rPr>
          <w:sz w:val="26"/>
          <w:szCs w:val="26"/>
        </w:rPr>
      </w:pPr>
      <w:r w:rsidRPr="00ED3040">
        <w:rPr>
          <w:sz w:val="26"/>
          <w:szCs w:val="26"/>
        </w:rPr>
        <w:t xml:space="preserve">On July 26, 2023, Victor Ruffin (Complainant) filed a Formal Complaint, using the Commission’s Formal Complaint form, against Philadelphia Gas Works (Respondent, or Company), alleging the Respondent failed to fully reimburse him for damages that he sustained at his property after a lightning strike caused an electric surge at his property.  The Complainant requested to be reimbursed for the cost of additional items that were damaged by the electric surge.  The Complainant also indicates that it took PECO a year to respond to his requests to be reimbursed for items that were damaged at his property.    </w:t>
      </w:r>
    </w:p>
    <w:p w14:paraId="6A4A5041" w14:textId="77777777" w:rsidR="00F36671" w:rsidRPr="00ED3040" w:rsidRDefault="00F36671" w:rsidP="00F36671">
      <w:pPr>
        <w:spacing w:line="360" w:lineRule="auto"/>
        <w:rPr>
          <w:sz w:val="26"/>
          <w:szCs w:val="26"/>
        </w:rPr>
      </w:pPr>
    </w:p>
    <w:p w14:paraId="1EB49236" w14:textId="77777777" w:rsidR="00E27D51" w:rsidRDefault="00F36671" w:rsidP="00F36671">
      <w:pPr>
        <w:spacing w:line="360" w:lineRule="auto"/>
        <w:rPr>
          <w:sz w:val="26"/>
          <w:szCs w:val="26"/>
        </w:rPr>
      </w:pPr>
      <w:r w:rsidRPr="00ED3040">
        <w:rPr>
          <w:sz w:val="26"/>
          <w:szCs w:val="26"/>
        </w:rPr>
        <w:tab/>
      </w:r>
      <w:r w:rsidRPr="00ED3040">
        <w:rPr>
          <w:sz w:val="26"/>
          <w:szCs w:val="26"/>
        </w:rPr>
        <w:tab/>
        <w:t>On September 6, 2023</w:t>
      </w:r>
      <w:r w:rsidRPr="00ED3040">
        <w:rPr>
          <w:sz w:val="26"/>
          <w:szCs w:val="26"/>
          <w:vertAlign w:val="superscript"/>
        </w:rPr>
        <w:footnoteReference w:id="1"/>
      </w:r>
      <w:r w:rsidRPr="00ED3040">
        <w:rPr>
          <w:sz w:val="26"/>
          <w:szCs w:val="26"/>
        </w:rPr>
        <w:t xml:space="preserve">, the Company filed an Answer and New Matter to the Formal Complaint, as well as a Preliminary Objection pursuant to 52 Pa.Code </w:t>
      </w:r>
    </w:p>
    <w:p w14:paraId="3FF5B5D7" w14:textId="54CB84DA" w:rsidR="00F36671" w:rsidRPr="00ED3040" w:rsidRDefault="00F36671" w:rsidP="00F36671">
      <w:pPr>
        <w:spacing w:line="360" w:lineRule="auto"/>
        <w:rPr>
          <w:sz w:val="26"/>
          <w:szCs w:val="26"/>
        </w:rPr>
      </w:pPr>
      <w:r w:rsidRPr="00ED3040">
        <w:rPr>
          <w:sz w:val="26"/>
          <w:szCs w:val="26"/>
        </w:rPr>
        <w:t>§ 5.101.  In its Answer, the Company denies it improperly denied Complainant’s claim for additional reimbursement.  Additionally, the Company avers the Commission lacks the authority to award monetary damages.</w:t>
      </w:r>
    </w:p>
    <w:p w14:paraId="52B115F5" w14:textId="77777777" w:rsidR="00F36671" w:rsidRPr="00ED3040" w:rsidRDefault="00F36671" w:rsidP="00F36671">
      <w:pPr>
        <w:spacing w:line="360" w:lineRule="auto"/>
        <w:rPr>
          <w:sz w:val="26"/>
          <w:szCs w:val="26"/>
        </w:rPr>
      </w:pPr>
      <w:r w:rsidRPr="00ED3040">
        <w:rPr>
          <w:sz w:val="26"/>
          <w:szCs w:val="26"/>
        </w:rPr>
        <w:lastRenderedPageBreak/>
        <w:tab/>
      </w:r>
      <w:r w:rsidRPr="00ED3040">
        <w:rPr>
          <w:sz w:val="26"/>
          <w:szCs w:val="26"/>
        </w:rPr>
        <w:tab/>
        <w:t>In its Preliminary Objection</w:t>
      </w:r>
      <w:r w:rsidRPr="00ED3040">
        <w:rPr>
          <w:sz w:val="26"/>
          <w:szCs w:val="26"/>
          <w:vertAlign w:val="superscript"/>
        </w:rPr>
        <w:footnoteReference w:id="2"/>
      </w:r>
      <w:r w:rsidRPr="00ED3040">
        <w:rPr>
          <w:sz w:val="26"/>
          <w:szCs w:val="26"/>
        </w:rPr>
        <w:t xml:space="preserve">, the Company argues the Formal Complaint is barred by </w:t>
      </w:r>
      <w:r w:rsidRPr="00ED3040">
        <w:rPr>
          <w:i/>
          <w:iCs/>
          <w:sz w:val="26"/>
          <w:szCs w:val="26"/>
        </w:rPr>
        <w:t>res judicata</w:t>
      </w:r>
      <w:r w:rsidRPr="00ED3040">
        <w:rPr>
          <w:sz w:val="26"/>
          <w:szCs w:val="26"/>
        </w:rPr>
        <w:t xml:space="preserve">.  Specifically, the Company contends that the issues raised by the Formal Complaint have previously been adjudicated by another Administrative Law Judge and the decision has become final.  </w:t>
      </w:r>
    </w:p>
    <w:p w14:paraId="6EA447CB" w14:textId="77777777" w:rsidR="00F36671" w:rsidRPr="00ED3040" w:rsidRDefault="00F36671" w:rsidP="00F36671">
      <w:pPr>
        <w:spacing w:line="360" w:lineRule="auto"/>
        <w:rPr>
          <w:sz w:val="26"/>
          <w:szCs w:val="26"/>
        </w:rPr>
      </w:pPr>
    </w:p>
    <w:p w14:paraId="2F633740" w14:textId="77777777" w:rsidR="00F36671" w:rsidRPr="00ED3040" w:rsidRDefault="00F36671" w:rsidP="00F36671">
      <w:pPr>
        <w:spacing w:line="360" w:lineRule="auto"/>
        <w:rPr>
          <w:sz w:val="26"/>
          <w:szCs w:val="26"/>
        </w:rPr>
      </w:pPr>
      <w:r w:rsidRPr="00ED3040">
        <w:rPr>
          <w:sz w:val="26"/>
          <w:szCs w:val="26"/>
        </w:rPr>
        <w:tab/>
      </w:r>
      <w:r w:rsidRPr="00ED3040">
        <w:rPr>
          <w:sz w:val="26"/>
          <w:szCs w:val="26"/>
        </w:rPr>
        <w:tab/>
        <w:t>The Preliminary Objection contained a Notice to Plead directing the Complainant to file a response within ten days of service.  The Complainant did not file any response to the New Matter or the Preliminary Objection.</w:t>
      </w:r>
    </w:p>
    <w:p w14:paraId="0C4B5983" w14:textId="77777777" w:rsidR="00F36671" w:rsidRPr="00ED3040" w:rsidRDefault="00F36671" w:rsidP="00F36671">
      <w:pPr>
        <w:spacing w:line="360" w:lineRule="auto"/>
        <w:rPr>
          <w:sz w:val="26"/>
          <w:szCs w:val="26"/>
        </w:rPr>
      </w:pPr>
    </w:p>
    <w:p w14:paraId="41B5A01A" w14:textId="060CF559" w:rsidR="00F36671" w:rsidRPr="00ED3040" w:rsidRDefault="00F36671" w:rsidP="00F36671">
      <w:pPr>
        <w:spacing w:line="360" w:lineRule="auto"/>
        <w:rPr>
          <w:sz w:val="26"/>
          <w:szCs w:val="26"/>
        </w:rPr>
      </w:pPr>
      <w:r w:rsidRPr="00ED3040">
        <w:rPr>
          <w:sz w:val="26"/>
          <w:szCs w:val="26"/>
        </w:rPr>
        <w:tab/>
      </w:r>
      <w:r w:rsidRPr="00ED3040">
        <w:rPr>
          <w:sz w:val="26"/>
          <w:szCs w:val="26"/>
        </w:rPr>
        <w:tab/>
        <w:t xml:space="preserve">On November 8, 2023, the Commission issued a Motion Judge Assignment </w:t>
      </w:r>
      <w:r w:rsidR="005B25B4" w:rsidRPr="00ED3040">
        <w:rPr>
          <w:sz w:val="26"/>
          <w:szCs w:val="26"/>
        </w:rPr>
        <w:t>Notice,</w:t>
      </w:r>
      <w:r w:rsidRPr="00ED3040">
        <w:rPr>
          <w:sz w:val="26"/>
          <w:szCs w:val="26"/>
        </w:rPr>
        <w:t xml:space="preserve"> and the matter was assigned to me.</w:t>
      </w:r>
    </w:p>
    <w:p w14:paraId="6FCBD10C" w14:textId="77777777" w:rsidR="00F36671" w:rsidRPr="00ED3040" w:rsidRDefault="00F36671" w:rsidP="00F36671">
      <w:pPr>
        <w:spacing w:line="360" w:lineRule="auto"/>
        <w:rPr>
          <w:sz w:val="26"/>
          <w:szCs w:val="26"/>
        </w:rPr>
      </w:pPr>
    </w:p>
    <w:p w14:paraId="791F9DC3" w14:textId="6FA51A9B" w:rsidR="00F36671" w:rsidRDefault="00F36671" w:rsidP="00F36671">
      <w:pPr>
        <w:spacing w:line="360" w:lineRule="auto"/>
        <w:rPr>
          <w:sz w:val="26"/>
          <w:szCs w:val="26"/>
        </w:rPr>
      </w:pPr>
      <w:r w:rsidRPr="00ED3040">
        <w:rPr>
          <w:sz w:val="26"/>
          <w:szCs w:val="26"/>
        </w:rPr>
        <w:tab/>
      </w:r>
      <w:r w:rsidRPr="00ED3040">
        <w:rPr>
          <w:sz w:val="26"/>
          <w:szCs w:val="26"/>
        </w:rPr>
        <w:tab/>
      </w:r>
      <w:r>
        <w:rPr>
          <w:sz w:val="26"/>
          <w:szCs w:val="26"/>
        </w:rPr>
        <w:t>On December 8, 2023, I issued an Interim Order denying the Preliminary Objections in part</w:t>
      </w:r>
      <w:r w:rsidRPr="00ED3040">
        <w:rPr>
          <w:sz w:val="26"/>
          <w:szCs w:val="26"/>
        </w:rPr>
        <w:t>.</w:t>
      </w:r>
      <w:r>
        <w:rPr>
          <w:sz w:val="26"/>
          <w:szCs w:val="26"/>
        </w:rPr>
        <w:t xml:space="preserve">  I indicated that the Complainant was to </w:t>
      </w:r>
      <w:r w:rsidR="005B25B4">
        <w:rPr>
          <w:sz w:val="26"/>
          <w:szCs w:val="26"/>
        </w:rPr>
        <w:t>file</w:t>
      </w:r>
      <w:r>
        <w:rPr>
          <w:sz w:val="26"/>
          <w:szCs w:val="26"/>
        </w:rPr>
        <w:t xml:space="preserve"> an Amended Complaint by December 22, 2023.  </w:t>
      </w:r>
    </w:p>
    <w:p w14:paraId="4CF42AF7" w14:textId="77777777" w:rsidR="00F36671" w:rsidRDefault="00F36671" w:rsidP="00F36671">
      <w:pPr>
        <w:spacing w:line="360" w:lineRule="auto"/>
        <w:rPr>
          <w:sz w:val="26"/>
          <w:szCs w:val="26"/>
        </w:rPr>
      </w:pPr>
    </w:p>
    <w:p w14:paraId="4E211993" w14:textId="77777777" w:rsidR="00F36671" w:rsidRDefault="00F36671" w:rsidP="00F36671">
      <w:pPr>
        <w:spacing w:line="360" w:lineRule="auto"/>
        <w:rPr>
          <w:sz w:val="26"/>
          <w:szCs w:val="26"/>
        </w:rPr>
      </w:pPr>
      <w:r>
        <w:rPr>
          <w:sz w:val="26"/>
          <w:szCs w:val="26"/>
        </w:rPr>
        <w:tab/>
      </w:r>
      <w:r>
        <w:rPr>
          <w:sz w:val="26"/>
          <w:szCs w:val="26"/>
        </w:rPr>
        <w:tab/>
        <w:t xml:space="preserve">On January 23, 2024, the Respondent filed a Motion to Dismiss the matter for failure to comply with the Interim Order.  </w:t>
      </w:r>
    </w:p>
    <w:p w14:paraId="66DF000E" w14:textId="77777777" w:rsidR="00F36671" w:rsidRDefault="00F36671" w:rsidP="00F36671">
      <w:pPr>
        <w:spacing w:line="360" w:lineRule="auto"/>
        <w:rPr>
          <w:sz w:val="26"/>
          <w:szCs w:val="26"/>
        </w:rPr>
      </w:pPr>
    </w:p>
    <w:p w14:paraId="14120942" w14:textId="77777777" w:rsidR="00F36671" w:rsidRDefault="00F36671" w:rsidP="00F36671">
      <w:pPr>
        <w:spacing w:line="360" w:lineRule="auto"/>
        <w:rPr>
          <w:sz w:val="26"/>
          <w:szCs w:val="26"/>
        </w:rPr>
      </w:pPr>
      <w:r>
        <w:rPr>
          <w:sz w:val="26"/>
          <w:szCs w:val="26"/>
        </w:rPr>
        <w:tab/>
      </w:r>
      <w:r>
        <w:rPr>
          <w:sz w:val="26"/>
          <w:szCs w:val="26"/>
        </w:rPr>
        <w:tab/>
        <w:t xml:space="preserve">As of this date the Complainant has not filed an Amended Complaint or response to the Motion to Dismiss.  </w:t>
      </w:r>
    </w:p>
    <w:p w14:paraId="12F9D93C" w14:textId="77777777" w:rsidR="00F36671" w:rsidRDefault="00F36671" w:rsidP="00F36671">
      <w:pPr>
        <w:spacing w:line="360" w:lineRule="auto"/>
        <w:rPr>
          <w:sz w:val="26"/>
          <w:szCs w:val="26"/>
        </w:rPr>
      </w:pPr>
    </w:p>
    <w:p w14:paraId="160F8560" w14:textId="77777777" w:rsidR="00F36671" w:rsidRPr="00ED3040" w:rsidRDefault="00F36671" w:rsidP="00F36671">
      <w:pPr>
        <w:spacing w:line="360" w:lineRule="auto"/>
        <w:rPr>
          <w:sz w:val="26"/>
          <w:szCs w:val="26"/>
        </w:rPr>
      </w:pPr>
      <w:r>
        <w:rPr>
          <w:sz w:val="26"/>
          <w:szCs w:val="26"/>
        </w:rPr>
        <w:tab/>
      </w:r>
      <w:r>
        <w:rPr>
          <w:sz w:val="26"/>
          <w:szCs w:val="26"/>
        </w:rPr>
        <w:tab/>
        <w:t xml:space="preserve">The Complainant has one more opportunity to file an Amended Complaint or respond to the Motion to Dismiss, otherwise, the record will be closed in this matter.  </w:t>
      </w:r>
    </w:p>
    <w:p w14:paraId="6C7C7EA7" w14:textId="77777777" w:rsidR="00F36671" w:rsidRPr="00ED3040" w:rsidRDefault="00F36671" w:rsidP="00F36671">
      <w:pPr>
        <w:spacing w:line="360" w:lineRule="auto"/>
        <w:rPr>
          <w:sz w:val="26"/>
          <w:szCs w:val="26"/>
        </w:rPr>
      </w:pPr>
      <w:r w:rsidRPr="00ED3040">
        <w:rPr>
          <w:sz w:val="26"/>
          <w:szCs w:val="26"/>
        </w:rPr>
        <w:tab/>
      </w:r>
      <w:r w:rsidRPr="00ED3040">
        <w:rPr>
          <w:sz w:val="26"/>
          <w:szCs w:val="26"/>
        </w:rPr>
        <w:tab/>
      </w:r>
    </w:p>
    <w:p w14:paraId="317FC89C" w14:textId="77777777" w:rsidR="00F36671" w:rsidRDefault="00F36671" w:rsidP="00CD0076">
      <w:pPr>
        <w:keepNext/>
        <w:spacing w:line="360" w:lineRule="auto"/>
        <w:jc w:val="center"/>
        <w:rPr>
          <w:sz w:val="26"/>
          <w:szCs w:val="26"/>
          <w:u w:val="single"/>
        </w:rPr>
      </w:pPr>
      <w:r w:rsidRPr="00ED3040">
        <w:rPr>
          <w:sz w:val="26"/>
          <w:szCs w:val="26"/>
          <w:u w:val="single"/>
        </w:rPr>
        <w:lastRenderedPageBreak/>
        <w:t>ORDER</w:t>
      </w:r>
    </w:p>
    <w:p w14:paraId="05929A7B" w14:textId="77777777" w:rsidR="00F1012D" w:rsidRDefault="00F1012D" w:rsidP="00F1012D">
      <w:pPr>
        <w:keepNext/>
        <w:spacing w:line="360" w:lineRule="auto"/>
        <w:jc w:val="center"/>
        <w:rPr>
          <w:sz w:val="26"/>
          <w:szCs w:val="26"/>
          <w:u w:val="single"/>
        </w:rPr>
      </w:pPr>
    </w:p>
    <w:p w14:paraId="15A2E16C" w14:textId="77777777" w:rsidR="00F1012D" w:rsidRPr="00ED3040" w:rsidRDefault="00F1012D" w:rsidP="00F1012D">
      <w:pPr>
        <w:keepNext/>
        <w:spacing w:line="360" w:lineRule="auto"/>
        <w:jc w:val="center"/>
        <w:rPr>
          <w:sz w:val="26"/>
          <w:szCs w:val="26"/>
          <w:u w:val="single"/>
        </w:rPr>
      </w:pPr>
    </w:p>
    <w:p w14:paraId="2767BD53" w14:textId="77777777" w:rsidR="00F36671" w:rsidRPr="00ED3040" w:rsidRDefault="00F36671" w:rsidP="00F36671">
      <w:pPr>
        <w:spacing w:line="360" w:lineRule="auto"/>
        <w:rPr>
          <w:sz w:val="26"/>
          <w:szCs w:val="26"/>
        </w:rPr>
      </w:pPr>
      <w:r w:rsidRPr="00ED3040">
        <w:rPr>
          <w:sz w:val="26"/>
          <w:szCs w:val="26"/>
        </w:rPr>
        <w:tab/>
      </w:r>
      <w:r w:rsidRPr="00ED3040">
        <w:rPr>
          <w:sz w:val="26"/>
          <w:szCs w:val="26"/>
        </w:rPr>
        <w:tab/>
        <w:t>THEREFORE,</w:t>
      </w:r>
    </w:p>
    <w:p w14:paraId="51D6D7A4" w14:textId="77777777" w:rsidR="00F36671" w:rsidRPr="00ED3040" w:rsidRDefault="00F36671" w:rsidP="00F36671">
      <w:pPr>
        <w:spacing w:line="360" w:lineRule="auto"/>
        <w:rPr>
          <w:sz w:val="26"/>
          <w:szCs w:val="26"/>
        </w:rPr>
      </w:pPr>
    </w:p>
    <w:p w14:paraId="3A1B9B26" w14:textId="77777777" w:rsidR="00F36671" w:rsidRPr="00ED3040" w:rsidRDefault="00F36671" w:rsidP="00F36671">
      <w:pPr>
        <w:spacing w:line="360" w:lineRule="auto"/>
        <w:rPr>
          <w:sz w:val="26"/>
          <w:szCs w:val="26"/>
        </w:rPr>
      </w:pPr>
      <w:r w:rsidRPr="00ED3040">
        <w:rPr>
          <w:sz w:val="26"/>
          <w:szCs w:val="26"/>
        </w:rPr>
        <w:tab/>
      </w:r>
      <w:r w:rsidRPr="00ED3040">
        <w:rPr>
          <w:sz w:val="26"/>
          <w:szCs w:val="26"/>
        </w:rPr>
        <w:tab/>
        <w:t>IT IS ORDERED:</w:t>
      </w:r>
    </w:p>
    <w:p w14:paraId="501BE236" w14:textId="77777777" w:rsidR="00F36671" w:rsidRPr="00ED3040" w:rsidRDefault="00F36671" w:rsidP="00F36671">
      <w:pPr>
        <w:spacing w:line="360" w:lineRule="auto"/>
        <w:rPr>
          <w:sz w:val="26"/>
          <w:szCs w:val="26"/>
        </w:rPr>
      </w:pPr>
    </w:p>
    <w:p w14:paraId="58C2108D" w14:textId="77777777" w:rsidR="00F36671" w:rsidRPr="00ED3040" w:rsidRDefault="00F36671" w:rsidP="00F36671">
      <w:pPr>
        <w:numPr>
          <w:ilvl w:val="0"/>
          <w:numId w:val="1"/>
        </w:numPr>
        <w:spacing w:line="360" w:lineRule="auto"/>
        <w:ind w:left="0" w:firstLine="1440"/>
        <w:rPr>
          <w:sz w:val="26"/>
          <w:szCs w:val="26"/>
        </w:rPr>
      </w:pPr>
      <w:r w:rsidRPr="00ED3040">
        <w:rPr>
          <w:sz w:val="26"/>
          <w:szCs w:val="26"/>
        </w:rPr>
        <w:t xml:space="preserve">That Victor Ruffin shall file and serve an Amended Complaint which sets forth additional facts, consistent with the instructions provided on the Commission’s formal complaint form, in support of the Complainant’s new or additional allegations against Philadelphia Gas Works </w:t>
      </w:r>
      <w:r w:rsidRPr="00ED3040">
        <w:rPr>
          <w:b/>
          <w:bCs/>
          <w:sz w:val="26"/>
          <w:szCs w:val="26"/>
          <w:u w:val="single"/>
        </w:rPr>
        <w:t xml:space="preserve">on or before </w:t>
      </w:r>
      <w:r>
        <w:rPr>
          <w:b/>
          <w:bCs/>
          <w:sz w:val="26"/>
          <w:szCs w:val="26"/>
          <w:u w:val="single"/>
        </w:rPr>
        <w:t>December 30, 2024</w:t>
      </w:r>
      <w:r w:rsidRPr="00ED3040">
        <w:rPr>
          <w:sz w:val="26"/>
          <w:szCs w:val="26"/>
        </w:rPr>
        <w:t>.  A copy of the Amended Complaint shall be served on counsel for Philadelphia Gas Works as well as the undersigned Administrative Law Judge.</w:t>
      </w:r>
    </w:p>
    <w:p w14:paraId="2801D062" w14:textId="77777777" w:rsidR="00F36671" w:rsidRPr="00ED3040" w:rsidRDefault="00F36671" w:rsidP="00F36671">
      <w:pPr>
        <w:spacing w:line="360" w:lineRule="auto"/>
        <w:ind w:firstLine="1440"/>
        <w:rPr>
          <w:sz w:val="26"/>
          <w:szCs w:val="26"/>
        </w:rPr>
      </w:pPr>
    </w:p>
    <w:p w14:paraId="68A40D4D" w14:textId="77777777" w:rsidR="00F36671" w:rsidRPr="00B8135F" w:rsidRDefault="00F36671" w:rsidP="00F36671">
      <w:pPr>
        <w:pStyle w:val="ListParagraph"/>
        <w:numPr>
          <w:ilvl w:val="0"/>
          <w:numId w:val="1"/>
        </w:numPr>
        <w:spacing w:line="360" w:lineRule="auto"/>
        <w:ind w:left="0" w:firstLine="1440"/>
        <w:rPr>
          <w:sz w:val="26"/>
          <w:szCs w:val="26"/>
        </w:rPr>
      </w:pPr>
      <w:r w:rsidRPr="00B8135F">
        <w:rPr>
          <w:sz w:val="26"/>
          <w:szCs w:val="26"/>
        </w:rPr>
        <w:t>That upon timely filing and service of an Amended Complaint by Victor Ruffin, Philadelphia Gas Works shall timely file and serve a responsive pleading.</w:t>
      </w:r>
    </w:p>
    <w:p w14:paraId="789F2AAC" w14:textId="77777777" w:rsidR="00F36671" w:rsidRPr="00B8135F" w:rsidRDefault="00F36671" w:rsidP="00F36671">
      <w:pPr>
        <w:pStyle w:val="ListParagraph"/>
        <w:ind w:left="0" w:firstLine="1440"/>
        <w:rPr>
          <w:sz w:val="26"/>
          <w:szCs w:val="26"/>
        </w:rPr>
      </w:pPr>
    </w:p>
    <w:p w14:paraId="0D34F150" w14:textId="77777777" w:rsidR="00F36671" w:rsidRDefault="00F36671" w:rsidP="00F36671">
      <w:pPr>
        <w:pStyle w:val="ListParagraph"/>
        <w:numPr>
          <w:ilvl w:val="0"/>
          <w:numId w:val="1"/>
        </w:numPr>
        <w:spacing w:line="360" w:lineRule="auto"/>
        <w:ind w:left="0" w:firstLine="1440"/>
        <w:rPr>
          <w:sz w:val="26"/>
          <w:szCs w:val="26"/>
        </w:rPr>
      </w:pPr>
      <w:r>
        <w:rPr>
          <w:sz w:val="26"/>
          <w:szCs w:val="26"/>
        </w:rPr>
        <w:t xml:space="preserve">That Victor Ruffin shall file and serve a Response to the Motion to Dismiss </w:t>
      </w:r>
      <w:r w:rsidRPr="00B12CB2">
        <w:rPr>
          <w:b/>
          <w:bCs/>
          <w:sz w:val="26"/>
          <w:szCs w:val="26"/>
          <w:u w:val="single"/>
        </w:rPr>
        <w:t>on or before December 30, 2024</w:t>
      </w:r>
      <w:r>
        <w:rPr>
          <w:sz w:val="26"/>
          <w:szCs w:val="26"/>
        </w:rPr>
        <w:t xml:space="preserve">.  </w:t>
      </w:r>
    </w:p>
    <w:p w14:paraId="431A4209" w14:textId="77777777" w:rsidR="00F36671" w:rsidRPr="00B12CB2" w:rsidRDefault="00F36671" w:rsidP="00F36671">
      <w:pPr>
        <w:pStyle w:val="ListParagraph"/>
        <w:ind w:left="0" w:firstLine="1440"/>
        <w:rPr>
          <w:sz w:val="26"/>
          <w:szCs w:val="26"/>
        </w:rPr>
      </w:pPr>
    </w:p>
    <w:p w14:paraId="6164210B" w14:textId="508072F7" w:rsidR="00F36671" w:rsidRPr="00B8135F" w:rsidRDefault="00F36671" w:rsidP="00F36671">
      <w:pPr>
        <w:pStyle w:val="ListParagraph"/>
        <w:numPr>
          <w:ilvl w:val="0"/>
          <w:numId w:val="1"/>
        </w:numPr>
        <w:spacing w:line="360" w:lineRule="auto"/>
        <w:ind w:left="0" w:firstLine="1440"/>
        <w:rPr>
          <w:sz w:val="26"/>
          <w:szCs w:val="26"/>
        </w:rPr>
      </w:pPr>
      <w:r>
        <w:rPr>
          <w:sz w:val="26"/>
          <w:szCs w:val="26"/>
        </w:rPr>
        <w:t xml:space="preserve">That if Victor Ruffin failed to comply with the above paragraphs of this Order, </w:t>
      </w:r>
      <w:r w:rsidRPr="00B12CB2">
        <w:rPr>
          <w:b/>
          <w:bCs/>
          <w:sz w:val="26"/>
          <w:szCs w:val="26"/>
          <w:u w:val="single"/>
        </w:rPr>
        <w:t xml:space="preserve">the record </w:t>
      </w:r>
      <w:r>
        <w:rPr>
          <w:b/>
          <w:bCs/>
          <w:sz w:val="26"/>
          <w:szCs w:val="26"/>
          <w:u w:val="single"/>
        </w:rPr>
        <w:t>closed</w:t>
      </w:r>
      <w:r w:rsidRPr="00B12CB2">
        <w:rPr>
          <w:b/>
          <w:bCs/>
          <w:sz w:val="26"/>
          <w:szCs w:val="26"/>
          <w:u w:val="single"/>
        </w:rPr>
        <w:t xml:space="preserve"> on </w:t>
      </w:r>
      <w:r>
        <w:rPr>
          <w:b/>
          <w:bCs/>
          <w:sz w:val="26"/>
          <w:szCs w:val="26"/>
          <w:u w:val="single"/>
        </w:rPr>
        <w:t>January 6, 2025</w:t>
      </w:r>
      <w:r>
        <w:rPr>
          <w:sz w:val="26"/>
          <w:szCs w:val="26"/>
        </w:rPr>
        <w:t xml:space="preserve">.  </w:t>
      </w:r>
    </w:p>
    <w:p w14:paraId="595491AA" w14:textId="77777777" w:rsidR="00F36671" w:rsidRPr="00ED3040" w:rsidRDefault="00F36671" w:rsidP="00F36671">
      <w:pPr>
        <w:spacing w:line="360" w:lineRule="auto"/>
        <w:ind w:firstLine="1440"/>
        <w:rPr>
          <w:sz w:val="26"/>
          <w:szCs w:val="26"/>
        </w:rPr>
      </w:pPr>
    </w:p>
    <w:p w14:paraId="1C650B77" w14:textId="77777777" w:rsidR="00F36671" w:rsidRPr="00ED3040" w:rsidRDefault="00F36671" w:rsidP="00F36671">
      <w:pPr>
        <w:spacing w:line="360" w:lineRule="auto"/>
        <w:ind w:firstLine="1440"/>
        <w:rPr>
          <w:sz w:val="26"/>
          <w:szCs w:val="26"/>
        </w:rPr>
      </w:pPr>
    </w:p>
    <w:p w14:paraId="6B758C80" w14:textId="13DAA094" w:rsidR="00F36671" w:rsidRPr="00ED3040" w:rsidRDefault="00F36671" w:rsidP="00F36671">
      <w:pPr>
        <w:rPr>
          <w:sz w:val="26"/>
          <w:szCs w:val="26"/>
          <w:u w:val="single"/>
        </w:rPr>
      </w:pPr>
      <w:bookmarkStart w:id="1" w:name="_Hlk10719696"/>
      <w:r w:rsidRPr="00ED3040">
        <w:rPr>
          <w:sz w:val="26"/>
          <w:szCs w:val="26"/>
        </w:rPr>
        <w:t xml:space="preserve">Date:  </w:t>
      </w:r>
      <w:r>
        <w:rPr>
          <w:sz w:val="26"/>
          <w:szCs w:val="26"/>
          <w:u w:val="single"/>
        </w:rPr>
        <w:t xml:space="preserve">March </w:t>
      </w:r>
      <w:r w:rsidR="00B71EAA">
        <w:rPr>
          <w:sz w:val="26"/>
          <w:szCs w:val="26"/>
          <w:u w:val="single"/>
        </w:rPr>
        <w:t>26</w:t>
      </w:r>
      <w:r>
        <w:rPr>
          <w:sz w:val="26"/>
          <w:szCs w:val="26"/>
          <w:u w:val="single"/>
        </w:rPr>
        <w:t>, 2025</w:t>
      </w:r>
      <w:r w:rsidRPr="00ED3040">
        <w:rPr>
          <w:sz w:val="26"/>
          <w:szCs w:val="26"/>
        </w:rPr>
        <w:tab/>
      </w:r>
      <w:r w:rsidRPr="00ED3040">
        <w:rPr>
          <w:sz w:val="26"/>
          <w:szCs w:val="26"/>
        </w:rPr>
        <w:tab/>
      </w:r>
      <w:r w:rsidRPr="00ED3040">
        <w:rPr>
          <w:sz w:val="26"/>
          <w:szCs w:val="26"/>
        </w:rPr>
        <w:tab/>
      </w:r>
      <w:r w:rsidRPr="00ED3040">
        <w:rPr>
          <w:sz w:val="26"/>
          <w:szCs w:val="26"/>
        </w:rPr>
        <w:tab/>
      </w:r>
      <w:r w:rsidRPr="00ED3040">
        <w:rPr>
          <w:sz w:val="26"/>
          <w:szCs w:val="26"/>
          <w:u w:val="single"/>
        </w:rPr>
        <w:tab/>
      </w:r>
      <w:r w:rsidRPr="00ED3040">
        <w:rPr>
          <w:sz w:val="26"/>
          <w:szCs w:val="26"/>
          <w:u w:val="single"/>
        </w:rPr>
        <w:tab/>
        <w:t>/s/</w:t>
      </w:r>
      <w:r w:rsidRPr="00ED3040">
        <w:rPr>
          <w:sz w:val="26"/>
          <w:szCs w:val="26"/>
          <w:u w:val="single"/>
        </w:rPr>
        <w:tab/>
      </w:r>
      <w:r w:rsidRPr="00ED3040">
        <w:rPr>
          <w:sz w:val="26"/>
          <w:szCs w:val="26"/>
          <w:u w:val="single"/>
        </w:rPr>
        <w:tab/>
      </w:r>
      <w:r w:rsidRPr="00ED3040">
        <w:rPr>
          <w:sz w:val="26"/>
          <w:szCs w:val="26"/>
          <w:u w:val="single"/>
        </w:rPr>
        <w:tab/>
      </w:r>
    </w:p>
    <w:p w14:paraId="179BF427" w14:textId="6953745D" w:rsidR="00F36671" w:rsidRPr="00ED3040" w:rsidRDefault="00F36671" w:rsidP="00F36671">
      <w:pPr>
        <w:rPr>
          <w:sz w:val="26"/>
          <w:szCs w:val="26"/>
        </w:rPr>
      </w:pPr>
      <w:r w:rsidRPr="00ED3040">
        <w:rPr>
          <w:sz w:val="26"/>
          <w:szCs w:val="26"/>
        </w:rPr>
        <w:tab/>
      </w:r>
      <w:r w:rsidRPr="00ED3040">
        <w:rPr>
          <w:sz w:val="26"/>
          <w:szCs w:val="26"/>
        </w:rPr>
        <w:tab/>
      </w:r>
      <w:r w:rsidRPr="00ED3040">
        <w:rPr>
          <w:sz w:val="26"/>
          <w:szCs w:val="26"/>
        </w:rPr>
        <w:tab/>
      </w:r>
      <w:r w:rsidRPr="00ED3040">
        <w:rPr>
          <w:sz w:val="26"/>
          <w:szCs w:val="26"/>
        </w:rPr>
        <w:tab/>
      </w:r>
      <w:r w:rsidRPr="00ED3040">
        <w:rPr>
          <w:sz w:val="26"/>
          <w:szCs w:val="26"/>
        </w:rPr>
        <w:tab/>
      </w:r>
      <w:r w:rsidRPr="00ED3040">
        <w:rPr>
          <w:sz w:val="26"/>
          <w:szCs w:val="26"/>
        </w:rPr>
        <w:tab/>
      </w:r>
      <w:r w:rsidRPr="00ED3040">
        <w:rPr>
          <w:sz w:val="26"/>
          <w:szCs w:val="26"/>
        </w:rPr>
        <w:tab/>
        <w:t>Marta Guhl</w:t>
      </w:r>
    </w:p>
    <w:p w14:paraId="54F23423" w14:textId="41A3FBB6" w:rsidR="00F36671" w:rsidRPr="00ED3040" w:rsidRDefault="00F36671" w:rsidP="00F36671">
      <w:pPr>
        <w:rPr>
          <w:sz w:val="26"/>
          <w:szCs w:val="26"/>
        </w:rPr>
      </w:pPr>
      <w:r w:rsidRPr="00ED3040">
        <w:rPr>
          <w:sz w:val="26"/>
          <w:szCs w:val="26"/>
        </w:rPr>
        <w:tab/>
      </w:r>
      <w:r w:rsidRPr="00ED3040">
        <w:rPr>
          <w:sz w:val="26"/>
          <w:szCs w:val="26"/>
        </w:rPr>
        <w:tab/>
      </w:r>
      <w:r w:rsidRPr="00ED3040">
        <w:rPr>
          <w:sz w:val="26"/>
          <w:szCs w:val="26"/>
        </w:rPr>
        <w:tab/>
      </w:r>
      <w:r w:rsidRPr="00ED3040">
        <w:rPr>
          <w:sz w:val="26"/>
          <w:szCs w:val="26"/>
        </w:rPr>
        <w:tab/>
      </w:r>
      <w:r w:rsidRPr="00ED3040">
        <w:rPr>
          <w:sz w:val="26"/>
          <w:szCs w:val="26"/>
        </w:rPr>
        <w:tab/>
      </w:r>
      <w:r w:rsidRPr="00ED3040">
        <w:rPr>
          <w:sz w:val="26"/>
          <w:szCs w:val="26"/>
        </w:rPr>
        <w:tab/>
      </w:r>
      <w:r w:rsidRPr="00ED3040">
        <w:rPr>
          <w:sz w:val="26"/>
          <w:szCs w:val="26"/>
        </w:rPr>
        <w:tab/>
        <w:t>Administrative Law Judge</w:t>
      </w:r>
      <w:bookmarkEnd w:id="1"/>
    </w:p>
    <w:p w14:paraId="6AC716DA" w14:textId="77777777" w:rsidR="00F36671" w:rsidRPr="00ED3040" w:rsidRDefault="00F36671" w:rsidP="00F36671">
      <w:pPr>
        <w:spacing w:line="360" w:lineRule="auto"/>
        <w:rPr>
          <w:sz w:val="26"/>
          <w:szCs w:val="26"/>
        </w:rPr>
        <w:sectPr w:rsidR="00F36671" w:rsidRPr="00ED3040" w:rsidSect="00E27D51">
          <w:footerReference w:type="default" r:id="rId7"/>
          <w:endnotePr>
            <w:numFmt w:val="decimal"/>
          </w:endnotePr>
          <w:pgSz w:w="12240" w:h="15840"/>
          <w:pgMar w:top="1440" w:right="1440" w:bottom="1440" w:left="1440" w:header="720" w:footer="720" w:gutter="0"/>
          <w:cols w:space="720"/>
          <w:titlePg/>
          <w:docGrid w:linePitch="326"/>
        </w:sectPr>
      </w:pPr>
    </w:p>
    <w:p w14:paraId="72C497DD" w14:textId="77777777" w:rsidR="00F36671" w:rsidRPr="005B25B4" w:rsidRDefault="00F36671" w:rsidP="00F36671">
      <w:pPr>
        <w:spacing w:line="360" w:lineRule="auto"/>
        <w:rPr>
          <w:b/>
          <w:sz w:val="26"/>
          <w:szCs w:val="26"/>
          <w:u w:val="single"/>
        </w:rPr>
      </w:pPr>
      <w:r w:rsidRPr="005B25B4">
        <w:rPr>
          <w:b/>
          <w:sz w:val="26"/>
          <w:szCs w:val="26"/>
          <w:u w:val="single"/>
        </w:rPr>
        <w:lastRenderedPageBreak/>
        <w:t>C-2023-3042219 - VICTOR RUFFIN v. PHILADELPHIA GAS WORKS</w:t>
      </w:r>
    </w:p>
    <w:p w14:paraId="7B02DE0F" w14:textId="77777777" w:rsidR="00F36671" w:rsidRPr="005B25B4" w:rsidRDefault="00F36671" w:rsidP="00F36671">
      <w:pPr>
        <w:spacing w:line="360" w:lineRule="auto"/>
        <w:rPr>
          <w:b/>
          <w:sz w:val="26"/>
          <w:szCs w:val="26"/>
          <w:u w:val="single"/>
        </w:rPr>
      </w:pPr>
    </w:p>
    <w:p w14:paraId="380DF17E" w14:textId="77777777" w:rsidR="00F36671" w:rsidRPr="005B25B4" w:rsidRDefault="00F36671" w:rsidP="00F36671">
      <w:pPr>
        <w:rPr>
          <w:sz w:val="26"/>
          <w:szCs w:val="26"/>
        </w:rPr>
      </w:pPr>
      <w:r w:rsidRPr="005B25B4">
        <w:rPr>
          <w:sz w:val="26"/>
          <w:szCs w:val="26"/>
        </w:rPr>
        <w:t>VICTOR RUFFIN</w:t>
      </w:r>
    </w:p>
    <w:p w14:paraId="09F634FC" w14:textId="77777777" w:rsidR="00F36671" w:rsidRPr="005B25B4" w:rsidRDefault="00F36671" w:rsidP="00F36671">
      <w:pPr>
        <w:rPr>
          <w:sz w:val="26"/>
          <w:szCs w:val="26"/>
        </w:rPr>
      </w:pPr>
      <w:r w:rsidRPr="005B25B4">
        <w:rPr>
          <w:sz w:val="26"/>
          <w:szCs w:val="26"/>
        </w:rPr>
        <w:t>1332 E AIRDRIE STREET</w:t>
      </w:r>
    </w:p>
    <w:p w14:paraId="455B6297" w14:textId="77777777" w:rsidR="00F36671" w:rsidRPr="005B25B4" w:rsidRDefault="00F36671" w:rsidP="00F36671">
      <w:pPr>
        <w:rPr>
          <w:sz w:val="26"/>
          <w:szCs w:val="26"/>
        </w:rPr>
      </w:pPr>
      <w:r w:rsidRPr="005B25B4">
        <w:rPr>
          <w:sz w:val="26"/>
          <w:szCs w:val="26"/>
        </w:rPr>
        <w:t>PHILADELPHIA PA  19124</w:t>
      </w:r>
    </w:p>
    <w:p w14:paraId="5DE219CA" w14:textId="77777777" w:rsidR="00F36671" w:rsidRPr="005B25B4" w:rsidRDefault="00F36671" w:rsidP="00F36671">
      <w:pPr>
        <w:rPr>
          <w:b/>
          <w:bCs/>
          <w:sz w:val="26"/>
          <w:szCs w:val="26"/>
        </w:rPr>
      </w:pPr>
      <w:r w:rsidRPr="005B25B4">
        <w:rPr>
          <w:b/>
          <w:bCs/>
          <w:sz w:val="26"/>
          <w:szCs w:val="26"/>
        </w:rPr>
        <w:t>215.882.4385</w:t>
      </w:r>
    </w:p>
    <w:p w14:paraId="4604398B" w14:textId="785A081B" w:rsidR="00F36671" w:rsidRPr="005B25B4" w:rsidRDefault="00F36671" w:rsidP="00F36671">
      <w:pPr>
        <w:rPr>
          <w:sz w:val="26"/>
          <w:szCs w:val="26"/>
        </w:rPr>
      </w:pPr>
      <w:r w:rsidRPr="005B25B4">
        <w:rPr>
          <w:sz w:val="26"/>
          <w:szCs w:val="26"/>
        </w:rPr>
        <w:t xml:space="preserve">Served via first-class </w:t>
      </w:r>
      <w:r w:rsidR="00EB2A69" w:rsidRPr="005B25B4">
        <w:rPr>
          <w:sz w:val="26"/>
          <w:szCs w:val="26"/>
        </w:rPr>
        <w:t xml:space="preserve">mail </w:t>
      </w:r>
      <w:r w:rsidR="00EB2A69">
        <w:rPr>
          <w:sz w:val="26"/>
          <w:szCs w:val="26"/>
        </w:rPr>
        <w:t>March</w:t>
      </w:r>
      <w:r w:rsidR="00B71EAA">
        <w:rPr>
          <w:sz w:val="26"/>
          <w:szCs w:val="26"/>
        </w:rPr>
        <w:t xml:space="preserve"> 26, 2025</w:t>
      </w:r>
    </w:p>
    <w:p w14:paraId="2B205733" w14:textId="77777777" w:rsidR="00F36671" w:rsidRPr="005B25B4" w:rsidRDefault="00F36671" w:rsidP="00F36671">
      <w:pPr>
        <w:rPr>
          <w:sz w:val="26"/>
          <w:szCs w:val="26"/>
        </w:rPr>
      </w:pPr>
    </w:p>
    <w:p w14:paraId="12BE00DE" w14:textId="77777777" w:rsidR="00F36671" w:rsidRPr="005B25B4" w:rsidRDefault="00F36671" w:rsidP="00F36671">
      <w:pPr>
        <w:rPr>
          <w:sz w:val="26"/>
          <w:szCs w:val="26"/>
        </w:rPr>
      </w:pPr>
      <w:r w:rsidRPr="005B25B4">
        <w:rPr>
          <w:sz w:val="26"/>
          <w:szCs w:val="26"/>
        </w:rPr>
        <w:t>GRACIELA CHRISTLIEB ESQUIRE</w:t>
      </w:r>
    </w:p>
    <w:p w14:paraId="1E34071D" w14:textId="77777777" w:rsidR="00F36671" w:rsidRPr="005B25B4" w:rsidRDefault="00F36671" w:rsidP="00F36671">
      <w:pPr>
        <w:rPr>
          <w:sz w:val="26"/>
          <w:szCs w:val="26"/>
        </w:rPr>
      </w:pPr>
      <w:r w:rsidRPr="005B25B4">
        <w:rPr>
          <w:sz w:val="26"/>
          <w:szCs w:val="26"/>
        </w:rPr>
        <w:t>PHILADELPHIA GAS WORKS</w:t>
      </w:r>
    </w:p>
    <w:p w14:paraId="4D019B6E" w14:textId="77777777" w:rsidR="00F36671" w:rsidRPr="005B25B4" w:rsidRDefault="00F36671" w:rsidP="00F36671">
      <w:pPr>
        <w:rPr>
          <w:sz w:val="26"/>
          <w:szCs w:val="26"/>
        </w:rPr>
      </w:pPr>
      <w:r w:rsidRPr="005B25B4">
        <w:rPr>
          <w:sz w:val="26"/>
          <w:szCs w:val="26"/>
        </w:rPr>
        <w:t>800 WEST MONTGOMERY AVE</w:t>
      </w:r>
    </w:p>
    <w:p w14:paraId="51B4B821" w14:textId="77777777" w:rsidR="00F36671" w:rsidRPr="005B25B4" w:rsidRDefault="00F36671" w:rsidP="00F36671">
      <w:pPr>
        <w:rPr>
          <w:sz w:val="26"/>
          <w:szCs w:val="26"/>
        </w:rPr>
      </w:pPr>
      <w:r w:rsidRPr="005B25B4">
        <w:rPr>
          <w:sz w:val="26"/>
          <w:szCs w:val="26"/>
        </w:rPr>
        <w:t>PHILADELPHIA PA  19122</w:t>
      </w:r>
    </w:p>
    <w:p w14:paraId="1D08BCC8" w14:textId="77777777" w:rsidR="00F36671" w:rsidRPr="005B25B4" w:rsidRDefault="00F36671" w:rsidP="00F36671">
      <w:pPr>
        <w:rPr>
          <w:sz w:val="26"/>
          <w:szCs w:val="26"/>
        </w:rPr>
      </w:pPr>
      <w:r w:rsidRPr="005B25B4">
        <w:rPr>
          <w:b/>
          <w:bCs/>
          <w:sz w:val="26"/>
          <w:szCs w:val="26"/>
        </w:rPr>
        <w:t>215.684.6164</w:t>
      </w:r>
    </w:p>
    <w:p w14:paraId="733F029F" w14:textId="65871675" w:rsidR="00F36671" w:rsidRPr="005B25B4" w:rsidRDefault="00F36671" w:rsidP="00F36671">
      <w:pPr>
        <w:rPr>
          <w:i/>
          <w:iCs/>
          <w:sz w:val="26"/>
          <w:szCs w:val="26"/>
        </w:rPr>
      </w:pPr>
      <w:hyperlink r:id="rId8" w:history="1">
        <w:r w:rsidRPr="005B25B4">
          <w:rPr>
            <w:rStyle w:val="Hyperlink"/>
            <w:sz w:val="26"/>
            <w:szCs w:val="26"/>
          </w:rPr>
          <w:t>Graciela.Christlieb@pgworks.com</w:t>
        </w:r>
      </w:hyperlink>
      <w:r w:rsidRPr="005B25B4">
        <w:rPr>
          <w:sz w:val="26"/>
          <w:szCs w:val="26"/>
        </w:rPr>
        <w:br/>
        <w:t>Served via eService</w:t>
      </w:r>
      <w:r w:rsidR="00B71EAA">
        <w:rPr>
          <w:sz w:val="26"/>
          <w:szCs w:val="26"/>
        </w:rPr>
        <w:t xml:space="preserve"> March 26, 2025</w:t>
      </w:r>
      <w:r w:rsidRPr="005B25B4">
        <w:rPr>
          <w:sz w:val="26"/>
          <w:szCs w:val="26"/>
        </w:rPr>
        <w:br/>
      </w:r>
      <w:r w:rsidRPr="005B25B4">
        <w:rPr>
          <w:i/>
          <w:iCs/>
          <w:sz w:val="26"/>
          <w:szCs w:val="26"/>
        </w:rPr>
        <w:t>(Counsel for PGW)</w:t>
      </w:r>
    </w:p>
    <w:p w14:paraId="53546FEB" w14:textId="77777777" w:rsidR="00F36671" w:rsidRPr="00ED3040" w:rsidRDefault="00F36671" w:rsidP="00F36671">
      <w:pPr>
        <w:spacing w:line="360" w:lineRule="auto"/>
        <w:rPr>
          <w:sz w:val="26"/>
          <w:szCs w:val="26"/>
        </w:rPr>
      </w:pPr>
    </w:p>
    <w:p w14:paraId="69566269" w14:textId="77777777" w:rsidR="00F36671" w:rsidRPr="00ED3040" w:rsidRDefault="00F36671" w:rsidP="00F36671">
      <w:pPr>
        <w:spacing w:line="360" w:lineRule="auto"/>
        <w:rPr>
          <w:sz w:val="26"/>
          <w:szCs w:val="26"/>
        </w:rPr>
      </w:pPr>
    </w:p>
    <w:p w14:paraId="320A4065" w14:textId="77777777" w:rsidR="00F36671" w:rsidRPr="00ED3040" w:rsidRDefault="00F36671" w:rsidP="00F36671">
      <w:pPr>
        <w:spacing w:line="360" w:lineRule="auto"/>
        <w:rPr>
          <w:sz w:val="26"/>
          <w:szCs w:val="26"/>
        </w:rPr>
      </w:pPr>
    </w:p>
    <w:p w14:paraId="4E552BE5" w14:textId="77777777" w:rsidR="00F36671" w:rsidRPr="00ED3040" w:rsidRDefault="00F36671" w:rsidP="00F36671">
      <w:pPr>
        <w:spacing w:line="360" w:lineRule="auto"/>
        <w:rPr>
          <w:sz w:val="26"/>
          <w:szCs w:val="26"/>
        </w:rPr>
      </w:pPr>
    </w:p>
    <w:p w14:paraId="3481DBCA" w14:textId="77777777" w:rsidR="00F36671" w:rsidRPr="00ED3040" w:rsidRDefault="00F36671" w:rsidP="00F36671">
      <w:pPr>
        <w:spacing w:line="360" w:lineRule="auto"/>
        <w:rPr>
          <w:sz w:val="26"/>
          <w:szCs w:val="26"/>
        </w:rPr>
      </w:pPr>
    </w:p>
    <w:p w14:paraId="74D9A7ED" w14:textId="77777777" w:rsidR="00F36671" w:rsidRPr="0040102B" w:rsidRDefault="00F36671" w:rsidP="00F36671">
      <w:pPr>
        <w:spacing w:line="360" w:lineRule="auto"/>
        <w:rPr>
          <w:sz w:val="26"/>
          <w:szCs w:val="26"/>
        </w:rPr>
      </w:pPr>
    </w:p>
    <w:p w14:paraId="24257C85" w14:textId="77777777" w:rsidR="004E65CC" w:rsidRDefault="004E65CC"/>
    <w:sectPr w:rsidR="004E65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11E6" w14:textId="77777777" w:rsidR="00462173" w:rsidRDefault="00462173" w:rsidP="00F36671">
      <w:r>
        <w:separator/>
      </w:r>
    </w:p>
  </w:endnote>
  <w:endnote w:type="continuationSeparator" w:id="0">
    <w:p w14:paraId="721286A1" w14:textId="77777777" w:rsidR="00462173" w:rsidRDefault="00462173" w:rsidP="00F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687131"/>
      <w:docPartObj>
        <w:docPartGallery w:val="Page Numbers (Bottom of Page)"/>
        <w:docPartUnique/>
      </w:docPartObj>
    </w:sdtPr>
    <w:sdtEndPr>
      <w:rPr>
        <w:noProof/>
      </w:rPr>
    </w:sdtEndPr>
    <w:sdtContent>
      <w:p w14:paraId="068AA306" w14:textId="77777777" w:rsidR="00F36671" w:rsidRDefault="00F36671">
        <w:pPr>
          <w:pStyle w:val="Footer"/>
          <w:jc w:val="center"/>
        </w:pPr>
        <w:r w:rsidRPr="005B25B4">
          <w:rPr>
            <w:sz w:val="20"/>
            <w:szCs w:val="20"/>
          </w:rPr>
          <w:fldChar w:fldCharType="begin"/>
        </w:r>
        <w:r w:rsidRPr="005B25B4">
          <w:rPr>
            <w:sz w:val="20"/>
            <w:szCs w:val="20"/>
          </w:rPr>
          <w:instrText xml:space="preserve"> PAGE   \* MERGEFORMAT </w:instrText>
        </w:r>
        <w:r w:rsidRPr="005B25B4">
          <w:rPr>
            <w:sz w:val="20"/>
            <w:szCs w:val="20"/>
          </w:rPr>
          <w:fldChar w:fldCharType="separate"/>
        </w:r>
        <w:r w:rsidRPr="005B25B4">
          <w:rPr>
            <w:noProof/>
            <w:sz w:val="20"/>
            <w:szCs w:val="20"/>
          </w:rPr>
          <w:t>2</w:t>
        </w:r>
        <w:r w:rsidRPr="005B25B4">
          <w:rPr>
            <w:noProof/>
            <w:sz w:val="20"/>
            <w:szCs w:val="20"/>
          </w:rPr>
          <w:fldChar w:fldCharType="end"/>
        </w:r>
      </w:p>
    </w:sdtContent>
  </w:sdt>
  <w:p w14:paraId="0F9CC80B" w14:textId="77777777" w:rsidR="00F36671" w:rsidRDefault="00F36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A253E" w14:textId="77777777" w:rsidR="00462173" w:rsidRDefault="00462173" w:rsidP="00F36671">
      <w:r>
        <w:separator/>
      </w:r>
    </w:p>
  </w:footnote>
  <w:footnote w:type="continuationSeparator" w:id="0">
    <w:p w14:paraId="11CB172C" w14:textId="77777777" w:rsidR="00462173" w:rsidRDefault="00462173" w:rsidP="00F36671">
      <w:r>
        <w:continuationSeparator/>
      </w:r>
    </w:p>
  </w:footnote>
  <w:footnote w:id="1">
    <w:p w14:paraId="5D0C1D3E" w14:textId="77777777" w:rsidR="00F36671" w:rsidRDefault="00F36671" w:rsidP="00F36671">
      <w:pPr>
        <w:pStyle w:val="FootnoteText"/>
        <w:ind w:firstLine="720"/>
      </w:pPr>
      <w:r>
        <w:rPr>
          <w:rStyle w:val="FootnoteReference"/>
          <w:rFonts w:eastAsiaTheme="majorEastAsia"/>
        </w:rPr>
        <w:footnoteRef/>
      </w:r>
      <w:r>
        <w:t xml:space="preserve"> </w:t>
      </w:r>
      <w:r>
        <w:tab/>
        <w:t xml:space="preserve">The Secretary’s Bureau served a copy of the Formal Complaint on the Respondent on August 15, 2023. </w:t>
      </w:r>
    </w:p>
    <w:p w14:paraId="34CAADF7" w14:textId="77777777" w:rsidR="00F36671" w:rsidRDefault="00F36671" w:rsidP="00F36671">
      <w:pPr>
        <w:pStyle w:val="FootnoteText"/>
        <w:ind w:firstLine="720"/>
      </w:pPr>
      <w:r>
        <w:t xml:space="preserve"> </w:t>
      </w:r>
    </w:p>
  </w:footnote>
  <w:footnote w:id="2">
    <w:p w14:paraId="5E80996C" w14:textId="77777777" w:rsidR="00F36671" w:rsidRDefault="00F36671" w:rsidP="005B25B4">
      <w:pPr>
        <w:pStyle w:val="FootnoteText"/>
        <w:ind w:firstLine="720"/>
      </w:pPr>
      <w:r>
        <w:rPr>
          <w:rStyle w:val="FootnoteReference"/>
          <w:rFonts w:eastAsiaTheme="majorEastAsia"/>
        </w:rPr>
        <w:footnoteRef/>
      </w:r>
      <w:r>
        <w:t xml:space="preserve"> </w:t>
      </w:r>
      <w:r>
        <w:tab/>
        <w:t xml:space="preserve">The Company also filed a Motion for Judgment on the Pleadings on October 5, 2023, which contained the same pleadings as the Preliminary Objection.  The Complainant did not file any response to the Motion.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92E82"/>
    <w:multiLevelType w:val="hybridMultilevel"/>
    <w:tmpl w:val="782CAC7E"/>
    <w:lvl w:ilvl="0" w:tplc="0E86916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412308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71"/>
    <w:rsid w:val="0001797A"/>
    <w:rsid w:val="00196D3B"/>
    <w:rsid w:val="00356B1A"/>
    <w:rsid w:val="003B39B1"/>
    <w:rsid w:val="00462173"/>
    <w:rsid w:val="00473889"/>
    <w:rsid w:val="004E65CC"/>
    <w:rsid w:val="005B25B4"/>
    <w:rsid w:val="009E6844"/>
    <w:rsid w:val="00B71EAA"/>
    <w:rsid w:val="00BD7CA9"/>
    <w:rsid w:val="00C55BD9"/>
    <w:rsid w:val="00CD0076"/>
    <w:rsid w:val="00D96E44"/>
    <w:rsid w:val="00E27D51"/>
    <w:rsid w:val="00EB2A69"/>
    <w:rsid w:val="00F010F8"/>
    <w:rsid w:val="00F1012D"/>
    <w:rsid w:val="00F36671"/>
    <w:rsid w:val="00F56D4D"/>
    <w:rsid w:val="00F8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EC0C2"/>
  <w15:chartTrackingRefBased/>
  <w15:docId w15:val="{276912D0-185D-46F0-ADD9-D8809890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6671"/>
    <w:pPr>
      <w:spacing w:after="0" w:line="240" w:lineRule="auto"/>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36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6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6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66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667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667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667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667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671"/>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F3667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36671"/>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36671"/>
    <w:rPr>
      <w:rFonts w:eastAsiaTheme="majorEastAsia"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F36671"/>
    <w:rPr>
      <w:rFonts w:eastAsiaTheme="majorEastAsia" w:cstheme="majorBidi"/>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F36671"/>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F36671"/>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F36671"/>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F36671"/>
    <w:rPr>
      <w:rFonts w:eastAsiaTheme="majorEastAsia"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F366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67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366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67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366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6671"/>
    <w:rPr>
      <w:rFonts w:ascii="Times New Roman" w:hAnsi="Times New Roman" w:cs="Times New Roman"/>
      <w:i/>
      <w:iCs/>
      <w:color w:val="404040" w:themeColor="text1" w:themeTint="BF"/>
      <w:kern w:val="0"/>
      <w:sz w:val="24"/>
      <w:szCs w:val="24"/>
      <w14:ligatures w14:val="none"/>
    </w:rPr>
  </w:style>
  <w:style w:type="paragraph" w:styleId="ListParagraph">
    <w:name w:val="List Paragraph"/>
    <w:basedOn w:val="Normal"/>
    <w:uiPriority w:val="34"/>
    <w:qFormat/>
    <w:rsid w:val="00F36671"/>
    <w:pPr>
      <w:ind w:left="720"/>
      <w:contextualSpacing/>
    </w:pPr>
  </w:style>
  <w:style w:type="character" w:styleId="IntenseEmphasis">
    <w:name w:val="Intense Emphasis"/>
    <w:basedOn w:val="DefaultParagraphFont"/>
    <w:uiPriority w:val="21"/>
    <w:qFormat/>
    <w:rsid w:val="00F36671"/>
    <w:rPr>
      <w:i/>
      <w:iCs/>
      <w:color w:val="0F4761" w:themeColor="accent1" w:themeShade="BF"/>
    </w:rPr>
  </w:style>
  <w:style w:type="paragraph" w:styleId="IntenseQuote">
    <w:name w:val="Intense Quote"/>
    <w:basedOn w:val="Normal"/>
    <w:next w:val="Normal"/>
    <w:link w:val="IntenseQuoteChar"/>
    <w:uiPriority w:val="30"/>
    <w:qFormat/>
    <w:rsid w:val="00F36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671"/>
    <w:rPr>
      <w:rFonts w:ascii="Times New Roman" w:hAnsi="Times New Roman" w:cs="Times New Roman"/>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F36671"/>
    <w:rPr>
      <w:b/>
      <w:bCs/>
      <w:smallCaps/>
      <w:color w:val="0F4761" w:themeColor="accent1" w:themeShade="BF"/>
      <w:spacing w:val="5"/>
    </w:rPr>
  </w:style>
  <w:style w:type="paragraph" w:styleId="FootnoteText">
    <w:name w:val="footnote text"/>
    <w:aliases w:val="Car"/>
    <w:basedOn w:val="Normal"/>
    <w:link w:val="FootnoteTextChar"/>
    <w:semiHidden/>
    <w:unhideWhenUsed/>
    <w:qFormat/>
    <w:rsid w:val="00F36671"/>
    <w:rPr>
      <w:sz w:val="20"/>
      <w:szCs w:val="20"/>
    </w:rPr>
  </w:style>
  <w:style w:type="character" w:customStyle="1" w:styleId="FootnoteTextChar">
    <w:name w:val="Footnote Text Char"/>
    <w:aliases w:val="Car Char"/>
    <w:basedOn w:val="DefaultParagraphFont"/>
    <w:link w:val="FootnoteText"/>
    <w:semiHidden/>
    <w:rsid w:val="00F36671"/>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36671"/>
  </w:style>
  <w:style w:type="character" w:styleId="Hyperlink">
    <w:name w:val="Hyperlink"/>
    <w:basedOn w:val="DefaultParagraphFont"/>
    <w:uiPriority w:val="99"/>
    <w:unhideWhenUsed/>
    <w:rsid w:val="00F36671"/>
    <w:rPr>
      <w:color w:val="467886" w:themeColor="hyperlink"/>
      <w:u w:val="single"/>
    </w:rPr>
  </w:style>
  <w:style w:type="paragraph" w:styleId="Footer">
    <w:name w:val="footer"/>
    <w:basedOn w:val="Normal"/>
    <w:link w:val="FooterChar"/>
    <w:uiPriority w:val="99"/>
    <w:unhideWhenUsed/>
    <w:rsid w:val="00F36671"/>
    <w:pPr>
      <w:tabs>
        <w:tab w:val="center" w:pos="4680"/>
        <w:tab w:val="right" w:pos="9360"/>
      </w:tabs>
    </w:pPr>
  </w:style>
  <w:style w:type="character" w:customStyle="1" w:styleId="FooterChar">
    <w:name w:val="Footer Char"/>
    <w:basedOn w:val="DefaultParagraphFont"/>
    <w:link w:val="Footer"/>
    <w:uiPriority w:val="99"/>
    <w:rsid w:val="00F36671"/>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5B25B4"/>
    <w:pPr>
      <w:tabs>
        <w:tab w:val="center" w:pos="4680"/>
        <w:tab w:val="right" w:pos="9360"/>
      </w:tabs>
    </w:pPr>
  </w:style>
  <w:style w:type="character" w:customStyle="1" w:styleId="HeaderChar">
    <w:name w:val="Header Char"/>
    <w:basedOn w:val="DefaultParagraphFont"/>
    <w:link w:val="Header"/>
    <w:uiPriority w:val="99"/>
    <w:rsid w:val="005B25B4"/>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iela.Christlieb@pgwork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Ball, Eric</cp:lastModifiedBy>
  <cp:revision>8</cp:revision>
  <cp:lastPrinted>2025-03-25T18:23:00Z</cp:lastPrinted>
  <dcterms:created xsi:type="dcterms:W3CDTF">2025-03-25T15:51:00Z</dcterms:created>
  <dcterms:modified xsi:type="dcterms:W3CDTF">2025-03-26T12:20:00Z</dcterms:modified>
</cp:coreProperties>
</file>