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5F5F8C7" w:rsidR="00664962" w:rsidRDefault="00E03FEB" w:rsidP="00614FB0">
      <w:pPr>
        <w:jc w:val="center"/>
        <w:rPr>
          <w:sz w:val="24"/>
          <w:szCs w:val="24"/>
        </w:rPr>
      </w:pPr>
      <w:r w:rsidRPr="00275C22">
        <w:rPr>
          <w:sz w:val="24"/>
          <w:szCs w:val="24"/>
        </w:rPr>
        <w:t>August</w:t>
      </w:r>
      <w:r w:rsidR="00614FB0" w:rsidRPr="00275C22">
        <w:rPr>
          <w:sz w:val="24"/>
          <w:szCs w:val="24"/>
        </w:rPr>
        <w:t xml:space="preserve"> </w:t>
      </w:r>
      <w:r w:rsidR="00275C22" w:rsidRPr="00275C22">
        <w:rPr>
          <w:sz w:val="24"/>
          <w:szCs w:val="24"/>
        </w:rPr>
        <w:t>6</w:t>
      </w:r>
      <w:r w:rsidR="00614FB0" w:rsidRPr="00275C22">
        <w:rPr>
          <w:sz w:val="24"/>
          <w:szCs w:val="24"/>
        </w:rPr>
        <w:t xml:space="preserve">, </w:t>
      </w:r>
      <w:r w:rsidR="006C7929" w:rsidRPr="00275C22">
        <w:rPr>
          <w:sz w:val="24"/>
          <w:szCs w:val="24"/>
        </w:rPr>
        <w:t>2025</w:t>
      </w:r>
    </w:p>
    <w:p w14:paraId="2A341584" w14:textId="63573C4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F5E45" w:rsidRPr="00CF5E45">
        <w:rPr>
          <w:sz w:val="24"/>
          <w:szCs w:val="24"/>
        </w:rPr>
        <w:t>A-2020-3019081</w:t>
      </w:r>
    </w:p>
    <w:p w14:paraId="2B2A27D2" w14:textId="03EADBDD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F5E45" w:rsidRPr="00CF5E45">
        <w:rPr>
          <w:sz w:val="24"/>
          <w:szCs w:val="24"/>
        </w:rPr>
        <w:t>1123039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536FF2A" w:rsidR="00D61E0C" w:rsidRPr="00CF5E45" w:rsidRDefault="00CF5E45" w:rsidP="00D61E0C">
      <w:pPr>
        <w:rPr>
          <w:sz w:val="24"/>
          <w:szCs w:val="24"/>
        </w:rPr>
      </w:pPr>
      <w:bookmarkStart w:id="0" w:name="_Hlk132805607"/>
      <w:r w:rsidRPr="00CF5E45">
        <w:rPr>
          <w:sz w:val="24"/>
          <w:szCs w:val="24"/>
        </w:rPr>
        <w:t>MOSHEH AFRAH</w:t>
      </w:r>
    </w:p>
    <w:p w14:paraId="35B17534" w14:textId="11B610F8" w:rsidR="001F1777" w:rsidRPr="00CF5E45" w:rsidRDefault="00CF5E45" w:rsidP="001F1777">
      <w:pPr>
        <w:rPr>
          <w:sz w:val="24"/>
          <w:szCs w:val="24"/>
        </w:rPr>
      </w:pPr>
      <w:r w:rsidRPr="00CF5E45">
        <w:rPr>
          <w:sz w:val="24"/>
          <w:szCs w:val="24"/>
        </w:rPr>
        <w:t>LIGHT STAR ENERGY GROUP LLC</w:t>
      </w:r>
    </w:p>
    <w:p w14:paraId="7697010C" w14:textId="4D5054B0" w:rsidR="001F1777" w:rsidRPr="00CF5E45" w:rsidRDefault="00CF5E45" w:rsidP="001F1777">
      <w:pPr>
        <w:rPr>
          <w:sz w:val="24"/>
          <w:szCs w:val="24"/>
        </w:rPr>
      </w:pPr>
      <w:r w:rsidRPr="00CF5E45">
        <w:rPr>
          <w:sz w:val="24"/>
          <w:szCs w:val="24"/>
        </w:rPr>
        <w:t>mafrah@lightstarenergy.com</w:t>
      </w:r>
    </w:p>
    <w:bookmarkEnd w:id="0"/>
    <w:p w14:paraId="497920D1" w14:textId="77777777" w:rsidR="00D61E0C" w:rsidRPr="00CF5E45" w:rsidRDefault="00D61E0C" w:rsidP="00D61E0C">
      <w:pPr>
        <w:rPr>
          <w:sz w:val="24"/>
          <w:szCs w:val="24"/>
        </w:rPr>
      </w:pPr>
    </w:p>
    <w:p w14:paraId="46ECC6BF" w14:textId="32ED9D61" w:rsidR="00D61E0C" w:rsidRPr="00CF5E45" w:rsidRDefault="00D61E0C" w:rsidP="00D61E0C">
      <w:pPr>
        <w:rPr>
          <w:sz w:val="24"/>
          <w:szCs w:val="24"/>
        </w:rPr>
      </w:pPr>
      <w:r w:rsidRPr="00CF5E45">
        <w:rPr>
          <w:sz w:val="24"/>
          <w:szCs w:val="24"/>
        </w:rPr>
        <w:tab/>
        <w:t xml:space="preserve">RE: </w:t>
      </w:r>
      <w:r w:rsidR="008A32E1" w:rsidRPr="00CF5E45">
        <w:rPr>
          <w:sz w:val="24"/>
          <w:szCs w:val="24"/>
        </w:rPr>
        <w:t xml:space="preserve">2024 </w:t>
      </w:r>
      <w:r w:rsidRPr="00CF5E45">
        <w:rPr>
          <w:sz w:val="24"/>
          <w:szCs w:val="24"/>
        </w:rPr>
        <w:t>Ele</w:t>
      </w:r>
      <w:r w:rsidR="00384E6E" w:rsidRPr="00CF5E45">
        <w:rPr>
          <w:sz w:val="24"/>
          <w:szCs w:val="24"/>
        </w:rPr>
        <w:t>ctric Choice</w:t>
      </w:r>
      <w:r w:rsidR="00664962" w:rsidRPr="00CF5E45">
        <w:rPr>
          <w:sz w:val="24"/>
          <w:szCs w:val="24"/>
        </w:rPr>
        <w:t xml:space="preserve"> Annual </w:t>
      </w:r>
      <w:r w:rsidR="006C1C8C" w:rsidRPr="00CF5E45">
        <w:rPr>
          <w:sz w:val="24"/>
          <w:szCs w:val="24"/>
        </w:rPr>
        <w:t xml:space="preserve">Gross Receipt </w:t>
      </w:r>
      <w:r w:rsidR="00664962" w:rsidRPr="00CF5E45">
        <w:rPr>
          <w:sz w:val="24"/>
          <w:szCs w:val="24"/>
        </w:rPr>
        <w:t>Report</w:t>
      </w:r>
    </w:p>
    <w:p w14:paraId="0491588B" w14:textId="77777777" w:rsidR="00D61E0C" w:rsidRPr="00CF5E45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251246C" w:rsidR="00D61E0C" w:rsidRPr="00CF5E45" w:rsidRDefault="00D61E0C" w:rsidP="00D61E0C">
      <w:pPr>
        <w:rPr>
          <w:sz w:val="24"/>
          <w:szCs w:val="24"/>
        </w:rPr>
      </w:pPr>
      <w:r w:rsidRPr="00CF5E45">
        <w:rPr>
          <w:sz w:val="24"/>
          <w:szCs w:val="24"/>
        </w:rPr>
        <w:t xml:space="preserve">Dear </w:t>
      </w:r>
      <w:r w:rsidR="00CB603D" w:rsidRPr="00CF5E45">
        <w:rPr>
          <w:sz w:val="24"/>
          <w:szCs w:val="24"/>
        </w:rPr>
        <w:t>Mr.</w:t>
      </w:r>
      <w:r w:rsidR="00CF5E45" w:rsidRPr="00CF5E45">
        <w:rPr>
          <w:sz w:val="24"/>
          <w:szCs w:val="24"/>
        </w:rPr>
        <w:t xml:space="preserve"> Afrah</w:t>
      </w:r>
      <w:r w:rsidRPr="00CF5E45">
        <w:rPr>
          <w:sz w:val="24"/>
          <w:szCs w:val="24"/>
        </w:rPr>
        <w:t>:</w:t>
      </w:r>
    </w:p>
    <w:p w14:paraId="7D9158D7" w14:textId="77777777" w:rsidR="00D61E0C" w:rsidRPr="00CF5E45" w:rsidRDefault="00D61E0C" w:rsidP="00D61E0C">
      <w:pPr>
        <w:rPr>
          <w:sz w:val="24"/>
          <w:szCs w:val="24"/>
        </w:rPr>
      </w:pPr>
    </w:p>
    <w:p w14:paraId="4C5E585B" w14:textId="67A1987B" w:rsidR="005560CE" w:rsidRPr="006C2097" w:rsidRDefault="005560CE" w:rsidP="005560CE">
      <w:pPr>
        <w:ind w:firstLine="720"/>
        <w:rPr>
          <w:sz w:val="24"/>
          <w:szCs w:val="24"/>
        </w:rPr>
      </w:pPr>
      <w:r w:rsidRPr="00CF5E45">
        <w:rPr>
          <w:sz w:val="24"/>
          <w:szCs w:val="24"/>
        </w:rPr>
        <w:t>On</w:t>
      </w:r>
      <w:r w:rsidRPr="00CF5E45">
        <w:rPr>
          <w:noProof/>
          <w:sz w:val="24"/>
          <w:szCs w:val="24"/>
        </w:rPr>
        <w:t xml:space="preserve"> </w:t>
      </w:r>
      <w:r w:rsidR="00CF5E45" w:rsidRPr="00CF5E45">
        <w:rPr>
          <w:noProof/>
          <w:sz w:val="24"/>
          <w:szCs w:val="24"/>
        </w:rPr>
        <w:t>August 6</w:t>
      </w:r>
      <w:r w:rsidRPr="00CF5E45">
        <w:rPr>
          <w:noProof/>
          <w:sz w:val="24"/>
          <w:szCs w:val="24"/>
        </w:rPr>
        <w:t xml:space="preserve">, </w:t>
      </w:r>
      <w:r w:rsidR="00CF5E45" w:rsidRPr="00CF5E45">
        <w:rPr>
          <w:noProof/>
          <w:sz w:val="24"/>
          <w:szCs w:val="24"/>
        </w:rPr>
        <w:t>2020</w:t>
      </w:r>
      <w:r>
        <w:rPr>
          <w:noProof/>
          <w:sz w:val="24"/>
          <w:szCs w:val="24"/>
        </w:rPr>
        <w:t xml:space="preserve">, </w:t>
      </w:r>
      <w:r w:rsidR="00CF5E45">
        <w:rPr>
          <w:sz w:val="24"/>
          <w:szCs w:val="24"/>
        </w:rPr>
        <w:t>Light Star Energy Group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F5E45">
        <w:rPr>
          <w:sz w:val="24"/>
          <w:szCs w:val="24"/>
        </w:rPr>
        <w:t>Light Star Energy Group LLC</w:t>
      </w:r>
      <w:r w:rsidR="00CF5E45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75C22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46615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5E45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6D7E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2025-07-29T17:27:00Z</dcterms:created>
  <dcterms:modified xsi:type="dcterms:W3CDTF">2025-08-06T15:05:00Z</dcterms:modified>
</cp:coreProperties>
</file>