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17B309E3" w:rsidR="004661D0" w:rsidRPr="005F2150" w:rsidRDefault="00CA0FDA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DC0E1D">
        <w:rPr>
          <w:sz w:val="24"/>
          <w:szCs w:val="24"/>
        </w:rPr>
        <w:t>15</w:t>
      </w:r>
      <w:r w:rsidR="00B36E56">
        <w:rPr>
          <w:sz w:val="24"/>
          <w:szCs w:val="24"/>
        </w:rPr>
        <w:t>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D718104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DC0E1D">
        <w:rPr>
          <w:sz w:val="24"/>
          <w:szCs w:val="24"/>
        </w:rPr>
        <w:t>6227981</w:t>
      </w:r>
    </w:p>
    <w:bookmarkEnd w:id="0"/>
    <w:p w14:paraId="55C994CE" w14:textId="5D26B00A" w:rsidR="00CF59F6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DC0E1D">
        <w:rPr>
          <w:sz w:val="24"/>
          <w:szCs w:val="24"/>
        </w:rPr>
        <w:t>3055242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48D43A5C" w:rsidR="000547AE" w:rsidRDefault="00DC0E1D" w:rsidP="004661D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SURE</w:t>
      </w:r>
      <w:proofErr w:type="gramEnd"/>
      <w:r>
        <w:rPr>
          <w:sz w:val="24"/>
          <w:szCs w:val="24"/>
        </w:rPr>
        <w:t xml:space="preserve"> STEP TRANSIT LLC</w:t>
      </w:r>
    </w:p>
    <w:p w14:paraId="68E0F989" w14:textId="391E7F6A" w:rsidR="001272C9" w:rsidRPr="005F2150" w:rsidRDefault="00DC0E1D" w:rsidP="004661D0">
      <w:pPr>
        <w:rPr>
          <w:sz w:val="24"/>
          <w:szCs w:val="24"/>
        </w:rPr>
      </w:pPr>
      <w:r>
        <w:rPr>
          <w:sz w:val="24"/>
          <w:szCs w:val="24"/>
        </w:rPr>
        <w:t>815 SEYMOUR STREET</w:t>
      </w:r>
    </w:p>
    <w:p w14:paraId="2A2C529A" w14:textId="17D54B21" w:rsidR="002808FD" w:rsidRDefault="00DC0E1D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LANCASTER PA  17603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97B923E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DC0E1D">
        <w:rPr>
          <w:sz w:val="24"/>
          <w:szCs w:val="24"/>
        </w:rPr>
        <w:t>Sure Step Transit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185390A0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DC0E1D">
        <w:rPr>
          <w:b/>
          <w:sz w:val="24"/>
          <w:szCs w:val="24"/>
          <w:u w:val="single"/>
        </w:rPr>
        <w:t>3055242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07EA65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C0E1D">
        <w:rPr>
          <w:b/>
          <w:bCs/>
          <w:sz w:val="24"/>
          <w:szCs w:val="24"/>
          <w:u w:val="single"/>
        </w:rPr>
        <w:t>November 1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CA0FDA">
        <w:rPr>
          <w:b/>
          <w:bCs/>
          <w:sz w:val="24"/>
          <w:szCs w:val="24"/>
          <w:u w:val="single"/>
        </w:rPr>
        <w:t xml:space="preserve">November </w:t>
      </w:r>
      <w:r w:rsidR="00DC0E1D">
        <w:rPr>
          <w:b/>
          <w:bCs/>
          <w:sz w:val="24"/>
          <w:szCs w:val="24"/>
          <w:u w:val="single"/>
        </w:rPr>
        <w:t>17</w:t>
      </w:r>
      <w:r w:rsidR="000B2A9F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B2A9F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74A34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4CDD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6D19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299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20F1B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1BD2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1CBA"/>
    <w:rsid w:val="00592049"/>
    <w:rsid w:val="00593EBB"/>
    <w:rsid w:val="005A0B35"/>
    <w:rsid w:val="005A1CD2"/>
    <w:rsid w:val="005A1F4D"/>
    <w:rsid w:val="005A3D9D"/>
    <w:rsid w:val="005A45D4"/>
    <w:rsid w:val="005A4F81"/>
    <w:rsid w:val="005A63BA"/>
    <w:rsid w:val="005B35FB"/>
    <w:rsid w:val="005B4AB8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6E59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C5F"/>
    <w:rsid w:val="009D0DB9"/>
    <w:rsid w:val="009D56C8"/>
    <w:rsid w:val="009E0542"/>
    <w:rsid w:val="009E0602"/>
    <w:rsid w:val="009E1B39"/>
    <w:rsid w:val="009E2E78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4AA4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301E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1D7F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A0FDA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59F6"/>
    <w:rsid w:val="00D00C3C"/>
    <w:rsid w:val="00D03500"/>
    <w:rsid w:val="00D03B96"/>
    <w:rsid w:val="00D1022D"/>
    <w:rsid w:val="00D1642A"/>
    <w:rsid w:val="00D234A2"/>
    <w:rsid w:val="00D253D0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5278"/>
    <w:rsid w:val="00DA6D84"/>
    <w:rsid w:val="00DB23C1"/>
    <w:rsid w:val="00DC02E8"/>
    <w:rsid w:val="00DC0E1D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E7E28"/>
    <w:rsid w:val="00EF01E6"/>
    <w:rsid w:val="00EF4F9B"/>
    <w:rsid w:val="00EF522A"/>
    <w:rsid w:val="00F07F6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2025-08-25T11:54:00Z</cp:lastPrinted>
  <dcterms:created xsi:type="dcterms:W3CDTF">2025-10-15T16:04:00Z</dcterms:created>
  <dcterms:modified xsi:type="dcterms:W3CDTF">2025-10-15T16:04:00Z</dcterms:modified>
</cp:coreProperties>
</file>