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7"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4BDC7900" w14:textId="77777777" w:rsidR="00FD0D7C" w:rsidRPr="00FD0D7C" w:rsidRDefault="00FD0D7C" w:rsidP="00FD0D7C">
      <w:pPr>
        <w:rPr>
          <w:b/>
          <w:sz w:val="24"/>
          <w:szCs w:val="24"/>
        </w:rPr>
      </w:pPr>
    </w:p>
    <w:p w14:paraId="6C7C79CB" w14:textId="77777777" w:rsidR="00FE48C3" w:rsidRPr="00FE48C3" w:rsidRDefault="00FE48C3" w:rsidP="00FE48C3">
      <w:pPr>
        <w:rPr>
          <w:b/>
          <w:sz w:val="24"/>
          <w:szCs w:val="24"/>
        </w:rPr>
      </w:pPr>
      <w:r w:rsidRPr="00FE48C3">
        <w:rPr>
          <w:b/>
          <w:sz w:val="24"/>
          <w:szCs w:val="24"/>
        </w:rPr>
        <w:t>SAFE POINT (NEMT) LLC</w:t>
      </w:r>
    </w:p>
    <w:p w14:paraId="7E594A51" w14:textId="77777777" w:rsidR="00FE48C3" w:rsidRPr="00FE48C3" w:rsidRDefault="00FE48C3" w:rsidP="00FE48C3">
      <w:pPr>
        <w:rPr>
          <w:b/>
          <w:sz w:val="24"/>
          <w:szCs w:val="24"/>
        </w:rPr>
      </w:pPr>
      <w:r w:rsidRPr="00FE48C3">
        <w:rPr>
          <w:b/>
          <w:sz w:val="24"/>
          <w:szCs w:val="24"/>
        </w:rPr>
        <w:t>2837 BRANDON RD</w:t>
      </w:r>
    </w:p>
    <w:p w14:paraId="42850315" w14:textId="77777777" w:rsidR="00FE48C3" w:rsidRPr="00FE48C3" w:rsidRDefault="00FE48C3" w:rsidP="00FE48C3">
      <w:pPr>
        <w:rPr>
          <w:b/>
          <w:sz w:val="24"/>
          <w:szCs w:val="24"/>
        </w:rPr>
      </w:pPr>
      <w:r w:rsidRPr="00FE48C3">
        <w:rPr>
          <w:b/>
          <w:sz w:val="24"/>
          <w:szCs w:val="24"/>
        </w:rPr>
        <w:t>BETHLEHEM PA 18017</w:t>
      </w:r>
    </w:p>
    <w:p w14:paraId="03D407A3" w14:textId="77777777" w:rsidR="00FE48C3" w:rsidRPr="00FE48C3" w:rsidRDefault="00FE48C3" w:rsidP="00FE48C3">
      <w:pPr>
        <w:rPr>
          <w:b/>
          <w:sz w:val="24"/>
          <w:szCs w:val="24"/>
        </w:rPr>
      </w:pPr>
    </w:p>
    <w:p w14:paraId="7835A4DE" w14:textId="77777777" w:rsidR="00FE48C3" w:rsidRPr="00FE48C3" w:rsidRDefault="00FE48C3" w:rsidP="00FE48C3">
      <w:pPr>
        <w:rPr>
          <w:b/>
          <w:sz w:val="24"/>
          <w:szCs w:val="24"/>
        </w:rPr>
      </w:pPr>
      <w:r w:rsidRPr="00FE48C3">
        <w:rPr>
          <w:b/>
          <w:sz w:val="24"/>
          <w:szCs w:val="24"/>
        </w:rPr>
        <w:t xml:space="preserve">RE: Application </w:t>
      </w:r>
      <w:proofErr w:type="gramStart"/>
      <w:r w:rsidRPr="00FE48C3">
        <w:rPr>
          <w:b/>
          <w:sz w:val="24"/>
          <w:szCs w:val="24"/>
        </w:rPr>
        <w:t>of</w:t>
      </w:r>
      <w:proofErr w:type="gramEnd"/>
      <w:r w:rsidRPr="00FE48C3">
        <w:rPr>
          <w:b/>
          <w:sz w:val="24"/>
          <w:szCs w:val="24"/>
        </w:rPr>
        <w:t xml:space="preserve"> Safepoint (NEMT), LLC, 2837 Brandon Rd., Bethlehem, Northampton </w:t>
      </w:r>
    </w:p>
    <w:p w14:paraId="5326B1AB" w14:textId="3D02E2BE" w:rsidR="00C73BA1" w:rsidRDefault="00FE48C3" w:rsidP="00FE48C3">
      <w:pPr>
        <w:rPr>
          <w:b/>
          <w:sz w:val="24"/>
          <w:szCs w:val="24"/>
        </w:rPr>
      </w:pPr>
      <w:r w:rsidRPr="00FE48C3">
        <w:rPr>
          <w:b/>
          <w:sz w:val="24"/>
          <w:szCs w:val="24"/>
        </w:rPr>
        <w:t>County, PA 18017. 484-725-2026</w:t>
      </w:r>
    </w:p>
    <w:p w14:paraId="40213B7A" w14:textId="77777777" w:rsidR="00FE48C3" w:rsidRPr="00A452A8" w:rsidRDefault="00FE48C3" w:rsidP="00FE48C3">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7559D76F" w:rsidR="005C2625" w:rsidRDefault="005C2625">
      <w:pPr>
        <w:ind w:firstLine="720"/>
        <w:rPr>
          <w:b/>
          <w:sz w:val="24"/>
          <w:u w:val="single"/>
        </w:rPr>
      </w:pPr>
      <w:r w:rsidRPr="00A452A8">
        <w:rPr>
          <w:sz w:val="22"/>
          <w:szCs w:val="22"/>
        </w:rPr>
        <w:t>The application cited above has been captioned as attached and will be published in the Pennsylvania Bulletin of</w:t>
      </w:r>
      <w:r w:rsidR="00BF6D91" w:rsidRPr="00A452A8">
        <w:rPr>
          <w:sz w:val="22"/>
          <w:szCs w:val="22"/>
        </w:rPr>
        <w:t xml:space="preserve"> </w:t>
      </w:r>
      <w:r w:rsidR="00FD0D7C">
        <w:rPr>
          <w:b/>
          <w:sz w:val="24"/>
          <w:u w:val="single"/>
        </w:rPr>
        <w:t xml:space="preserve">March </w:t>
      </w:r>
      <w:r w:rsidR="00A96886">
        <w:rPr>
          <w:b/>
          <w:sz w:val="24"/>
          <w:u w:val="single"/>
        </w:rPr>
        <w:t>14, 2026</w:t>
      </w:r>
      <w:r w:rsidR="003229F9" w:rsidRPr="00A452A8">
        <w:rPr>
          <w:sz w:val="22"/>
          <w:szCs w:val="22"/>
        </w:rPr>
        <w:t>.</w:t>
      </w:r>
      <w:r w:rsidRPr="00A452A8">
        <w:rPr>
          <w:sz w:val="22"/>
          <w:szCs w:val="22"/>
        </w:rPr>
        <w:t xml:space="preserve">  The application will be submitted for review provided no protests are filed on or before </w:t>
      </w:r>
      <w:r w:rsidR="00A96886">
        <w:rPr>
          <w:b/>
          <w:sz w:val="24"/>
          <w:u w:val="single"/>
        </w:rPr>
        <w:t>March 30, 2026</w:t>
      </w:r>
      <w:r w:rsidR="00DB1FE0">
        <w:rPr>
          <w:b/>
          <w:sz w:val="24"/>
          <w:u w:val="single"/>
        </w:rPr>
        <w:t>.</w:t>
      </w:r>
    </w:p>
    <w:p w14:paraId="37248169" w14:textId="77777777" w:rsidR="00DB1FE0" w:rsidRPr="00A452A8" w:rsidRDefault="00DB1FE0">
      <w:pPr>
        <w:ind w:firstLine="720"/>
        <w:rPr>
          <w:sz w:val="22"/>
          <w:szCs w:val="22"/>
        </w:rPr>
      </w:pPr>
    </w:p>
    <w:p w14:paraId="0E8569D8" w14:textId="77777777" w:rsidR="005C2625" w:rsidRPr="00A452A8" w:rsidRDefault="005C2625">
      <w:pPr>
        <w:ind w:firstLine="720"/>
        <w:rPr>
          <w:sz w:val="22"/>
          <w:szCs w:val="22"/>
        </w:rPr>
      </w:pPr>
      <w:r w:rsidRPr="00A452A8">
        <w:rPr>
          <w:sz w:val="22"/>
          <w:szCs w:val="22"/>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0 days after their Pennsylvania Bulletin publication date.  This delay is emplaced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t>Very truly yours,</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9"/>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9F23" w14:textId="77777777" w:rsidR="00BF5594" w:rsidRDefault="00BF5594">
      <w:r>
        <w:separator/>
      </w:r>
    </w:p>
  </w:endnote>
  <w:endnote w:type="continuationSeparator" w:id="0">
    <w:p w14:paraId="22E50772" w14:textId="77777777" w:rsidR="00BF5594" w:rsidRDefault="00BF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3619" w14:textId="77777777" w:rsidR="00BF5594" w:rsidRDefault="00BF5594">
      <w:r>
        <w:separator/>
      </w:r>
    </w:p>
  </w:footnote>
  <w:footnote w:type="continuationSeparator" w:id="0">
    <w:p w14:paraId="1E4C5854" w14:textId="77777777" w:rsidR="00BF5594" w:rsidRDefault="00BF5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20EF4"/>
    <w:rsid w:val="000229F7"/>
    <w:rsid w:val="000250E3"/>
    <w:rsid w:val="00033045"/>
    <w:rsid w:val="00033ED1"/>
    <w:rsid w:val="000378EA"/>
    <w:rsid w:val="0004168A"/>
    <w:rsid w:val="00041F6C"/>
    <w:rsid w:val="00053E31"/>
    <w:rsid w:val="00062264"/>
    <w:rsid w:val="00063C51"/>
    <w:rsid w:val="00067C7A"/>
    <w:rsid w:val="00074A92"/>
    <w:rsid w:val="00074DC6"/>
    <w:rsid w:val="000830A5"/>
    <w:rsid w:val="000937A1"/>
    <w:rsid w:val="000A2559"/>
    <w:rsid w:val="000D360C"/>
    <w:rsid w:val="000D4371"/>
    <w:rsid w:val="000E1FB7"/>
    <w:rsid w:val="000E32AD"/>
    <w:rsid w:val="001001AE"/>
    <w:rsid w:val="00103DD8"/>
    <w:rsid w:val="00107A3E"/>
    <w:rsid w:val="0011476B"/>
    <w:rsid w:val="00121E22"/>
    <w:rsid w:val="00123C06"/>
    <w:rsid w:val="00135B39"/>
    <w:rsid w:val="00137F0A"/>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D4E94"/>
    <w:rsid w:val="001D7EDC"/>
    <w:rsid w:val="001E2B14"/>
    <w:rsid w:val="001E7B93"/>
    <w:rsid w:val="0020592F"/>
    <w:rsid w:val="00215B72"/>
    <w:rsid w:val="002247B4"/>
    <w:rsid w:val="002279C9"/>
    <w:rsid w:val="00235AA7"/>
    <w:rsid w:val="00241CD8"/>
    <w:rsid w:val="0024542C"/>
    <w:rsid w:val="00247389"/>
    <w:rsid w:val="00251C6F"/>
    <w:rsid w:val="00257905"/>
    <w:rsid w:val="002636E7"/>
    <w:rsid w:val="0026693E"/>
    <w:rsid w:val="002776F5"/>
    <w:rsid w:val="002804A5"/>
    <w:rsid w:val="002A1670"/>
    <w:rsid w:val="002A1D13"/>
    <w:rsid w:val="002A7287"/>
    <w:rsid w:val="002B1931"/>
    <w:rsid w:val="002B2748"/>
    <w:rsid w:val="002C1B37"/>
    <w:rsid w:val="002E0583"/>
    <w:rsid w:val="002E1838"/>
    <w:rsid w:val="002E23F5"/>
    <w:rsid w:val="002E3819"/>
    <w:rsid w:val="002E49E9"/>
    <w:rsid w:val="002E6E00"/>
    <w:rsid w:val="002F334F"/>
    <w:rsid w:val="003173A1"/>
    <w:rsid w:val="00317473"/>
    <w:rsid w:val="003229F9"/>
    <w:rsid w:val="00327C92"/>
    <w:rsid w:val="00330278"/>
    <w:rsid w:val="00351E9B"/>
    <w:rsid w:val="00361B35"/>
    <w:rsid w:val="00363013"/>
    <w:rsid w:val="003741D6"/>
    <w:rsid w:val="003803D7"/>
    <w:rsid w:val="00380969"/>
    <w:rsid w:val="00383D24"/>
    <w:rsid w:val="00387E26"/>
    <w:rsid w:val="00397163"/>
    <w:rsid w:val="003B2A80"/>
    <w:rsid w:val="003B6D59"/>
    <w:rsid w:val="003B7AB2"/>
    <w:rsid w:val="003D456D"/>
    <w:rsid w:val="003D5096"/>
    <w:rsid w:val="003E3DE4"/>
    <w:rsid w:val="003E3EB6"/>
    <w:rsid w:val="003F1DAA"/>
    <w:rsid w:val="00401529"/>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D7524"/>
    <w:rsid w:val="004D79F9"/>
    <w:rsid w:val="004F2715"/>
    <w:rsid w:val="00503804"/>
    <w:rsid w:val="005153FE"/>
    <w:rsid w:val="005161ED"/>
    <w:rsid w:val="00521439"/>
    <w:rsid w:val="00545D41"/>
    <w:rsid w:val="00570119"/>
    <w:rsid w:val="005751A8"/>
    <w:rsid w:val="005906E3"/>
    <w:rsid w:val="00592049"/>
    <w:rsid w:val="005A1CD2"/>
    <w:rsid w:val="005A283A"/>
    <w:rsid w:val="005A4EE4"/>
    <w:rsid w:val="005A4F81"/>
    <w:rsid w:val="005B56E2"/>
    <w:rsid w:val="005C2625"/>
    <w:rsid w:val="005C7F58"/>
    <w:rsid w:val="005D2E39"/>
    <w:rsid w:val="005D384A"/>
    <w:rsid w:val="005D50A3"/>
    <w:rsid w:val="005F06FD"/>
    <w:rsid w:val="005F21CD"/>
    <w:rsid w:val="005F5132"/>
    <w:rsid w:val="00612F2B"/>
    <w:rsid w:val="006156F9"/>
    <w:rsid w:val="00621616"/>
    <w:rsid w:val="00622A6C"/>
    <w:rsid w:val="00636E1C"/>
    <w:rsid w:val="0064211B"/>
    <w:rsid w:val="0064605A"/>
    <w:rsid w:val="00651899"/>
    <w:rsid w:val="006558FC"/>
    <w:rsid w:val="0066669C"/>
    <w:rsid w:val="00667445"/>
    <w:rsid w:val="00675237"/>
    <w:rsid w:val="00677A8E"/>
    <w:rsid w:val="006817AD"/>
    <w:rsid w:val="006A1B7A"/>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BC6"/>
    <w:rsid w:val="00710FB6"/>
    <w:rsid w:val="007121AD"/>
    <w:rsid w:val="00716DED"/>
    <w:rsid w:val="00725151"/>
    <w:rsid w:val="00725A86"/>
    <w:rsid w:val="0072655B"/>
    <w:rsid w:val="007323E7"/>
    <w:rsid w:val="0073478D"/>
    <w:rsid w:val="00737D92"/>
    <w:rsid w:val="0074327E"/>
    <w:rsid w:val="00747150"/>
    <w:rsid w:val="00750226"/>
    <w:rsid w:val="007504B0"/>
    <w:rsid w:val="00757EF6"/>
    <w:rsid w:val="0076114A"/>
    <w:rsid w:val="0076123E"/>
    <w:rsid w:val="00763FB5"/>
    <w:rsid w:val="007703C4"/>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32C6"/>
    <w:rsid w:val="007F5556"/>
    <w:rsid w:val="00800B6B"/>
    <w:rsid w:val="00801215"/>
    <w:rsid w:val="008061DD"/>
    <w:rsid w:val="00816E77"/>
    <w:rsid w:val="00821DB6"/>
    <w:rsid w:val="008322A6"/>
    <w:rsid w:val="00832FC9"/>
    <w:rsid w:val="008356A3"/>
    <w:rsid w:val="00851F3E"/>
    <w:rsid w:val="00855761"/>
    <w:rsid w:val="00862392"/>
    <w:rsid w:val="00872A01"/>
    <w:rsid w:val="0087775F"/>
    <w:rsid w:val="00887A32"/>
    <w:rsid w:val="00896559"/>
    <w:rsid w:val="008D053F"/>
    <w:rsid w:val="008D4636"/>
    <w:rsid w:val="008D5D76"/>
    <w:rsid w:val="008D7845"/>
    <w:rsid w:val="008E3850"/>
    <w:rsid w:val="008F5E64"/>
    <w:rsid w:val="008F7F25"/>
    <w:rsid w:val="00901F75"/>
    <w:rsid w:val="00905E66"/>
    <w:rsid w:val="00905F61"/>
    <w:rsid w:val="009119FA"/>
    <w:rsid w:val="0091478F"/>
    <w:rsid w:val="00916B4B"/>
    <w:rsid w:val="00917B2F"/>
    <w:rsid w:val="00922D05"/>
    <w:rsid w:val="00927368"/>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A10AB5"/>
    <w:rsid w:val="00A132C7"/>
    <w:rsid w:val="00A16C11"/>
    <w:rsid w:val="00A4121E"/>
    <w:rsid w:val="00A452A8"/>
    <w:rsid w:val="00A45BE2"/>
    <w:rsid w:val="00A66ADC"/>
    <w:rsid w:val="00A71C4A"/>
    <w:rsid w:val="00A75ECA"/>
    <w:rsid w:val="00A90C8B"/>
    <w:rsid w:val="00A96886"/>
    <w:rsid w:val="00A97942"/>
    <w:rsid w:val="00AA6D3A"/>
    <w:rsid w:val="00AA7C6E"/>
    <w:rsid w:val="00AB0B8C"/>
    <w:rsid w:val="00AB1B8F"/>
    <w:rsid w:val="00AB3669"/>
    <w:rsid w:val="00AB37E1"/>
    <w:rsid w:val="00AC1A0E"/>
    <w:rsid w:val="00AD38C4"/>
    <w:rsid w:val="00AD5B03"/>
    <w:rsid w:val="00AE1187"/>
    <w:rsid w:val="00AE785F"/>
    <w:rsid w:val="00AF135E"/>
    <w:rsid w:val="00AF6E9A"/>
    <w:rsid w:val="00B04F47"/>
    <w:rsid w:val="00B14948"/>
    <w:rsid w:val="00B24531"/>
    <w:rsid w:val="00B345D0"/>
    <w:rsid w:val="00B37608"/>
    <w:rsid w:val="00B379A4"/>
    <w:rsid w:val="00B42645"/>
    <w:rsid w:val="00B47175"/>
    <w:rsid w:val="00B60E91"/>
    <w:rsid w:val="00B63EBF"/>
    <w:rsid w:val="00B70DE7"/>
    <w:rsid w:val="00B720A1"/>
    <w:rsid w:val="00B8781A"/>
    <w:rsid w:val="00B92BE8"/>
    <w:rsid w:val="00B96581"/>
    <w:rsid w:val="00BA1C20"/>
    <w:rsid w:val="00BA221C"/>
    <w:rsid w:val="00BA7816"/>
    <w:rsid w:val="00BB10DA"/>
    <w:rsid w:val="00BB5723"/>
    <w:rsid w:val="00BC3095"/>
    <w:rsid w:val="00BC7B2F"/>
    <w:rsid w:val="00BD281E"/>
    <w:rsid w:val="00BF5594"/>
    <w:rsid w:val="00BF6D91"/>
    <w:rsid w:val="00BF7498"/>
    <w:rsid w:val="00C03ADF"/>
    <w:rsid w:val="00C0421F"/>
    <w:rsid w:val="00C0682D"/>
    <w:rsid w:val="00C0797F"/>
    <w:rsid w:val="00C10ABA"/>
    <w:rsid w:val="00C17ADC"/>
    <w:rsid w:val="00C349D0"/>
    <w:rsid w:val="00C464E8"/>
    <w:rsid w:val="00C5220E"/>
    <w:rsid w:val="00C63042"/>
    <w:rsid w:val="00C70FE9"/>
    <w:rsid w:val="00C73643"/>
    <w:rsid w:val="00C73BA1"/>
    <w:rsid w:val="00CB2DB5"/>
    <w:rsid w:val="00CB5649"/>
    <w:rsid w:val="00CB7AC3"/>
    <w:rsid w:val="00CC3B7F"/>
    <w:rsid w:val="00CD27FE"/>
    <w:rsid w:val="00CD7633"/>
    <w:rsid w:val="00CE733C"/>
    <w:rsid w:val="00CF19AC"/>
    <w:rsid w:val="00CF2F03"/>
    <w:rsid w:val="00CF4BA0"/>
    <w:rsid w:val="00D00C3C"/>
    <w:rsid w:val="00D03B96"/>
    <w:rsid w:val="00D1022D"/>
    <w:rsid w:val="00D13D2E"/>
    <w:rsid w:val="00D17E6F"/>
    <w:rsid w:val="00D26534"/>
    <w:rsid w:val="00D3301D"/>
    <w:rsid w:val="00D349AF"/>
    <w:rsid w:val="00D35981"/>
    <w:rsid w:val="00D361B7"/>
    <w:rsid w:val="00D42136"/>
    <w:rsid w:val="00D52C54"/>
    <w:rsid w:val="00D5669E"/>
    <w:rsid w:val="00D60DB9"/>
    <w:rsid w:val="00D70C67"/>
    <w:rsid w:val="00D745AD"/>
    <w:rsid w:val="00D94526"/>
    <w:rsid w:val="00D9518B"/>
    <w:rsid w:val="00DA7A86"/>
    <w:rsid w:val="00DB1748"/>
    <w:rsid w:val="00DB1FE0"/>
    <w:rsid w:val="00DB23C1"/>
    <w:rsid w:val="00DB5DA7"/>
    <w:rsid w:val="00DC02F0"/>
    <w:rsid w:val="00DD0153"/>
    <w:rsid w:val="00DD5BAD"/>
    <w:rsid w:val="00DD7350"/>
    <w:rsid w:val="00E03C25"/>
    <w:rsid w:val="00E10C8B"/>
    <w:rsid w:val="00E11737"/>
    <w:rsid w:val="00E12D99"/>
    <w:rsid w:val="00E22544"/>
    <w:rsid w:val="00E30092"/>
    <w:rsid w:val="00E30311"/>
    <w:rsid w:val="00E30C8D"/>
    <w:rsid w:val="00E324BD"/>
    <w:rsid w:val="00E32A6F"/>
    <w:rsid w:val="00E44DB1"/>
    <w:rsid w:val="00E46877"/>
    <w:rsid w:val="00E50FE9"/>
    <w:rsid w:val="00E610C9"/>
    <w:rsid w:val="00E62393"/>
    <w:rsid w:val="00E64D00"/>
    <w:rsid w:val="00E808F4"/>
    <w:rsid w:val="00E95D4A"/>
    <w:rsid w:val="00E97DD4"/>
    <w:rsid w:val="00EA00C1"/>
    <w:rsid w:val="00EA0BA2"/>
    <w:rsid w:val="00EB34AD"/>
    <w:rsid w:val="00EB7967"/>
    <w:rsid w:val="00EC11D4"/>
    <w:rsid w:val="00ED4E72"/>
    <w:rsid w:val="00EE1C9E"/>
    <w:rsid w:val="00EF01E6"/>
    <w:rsid w:val="00EF522A"/>
    <w:rsid w:val="00F03456"/>
    <w:rsid w:val="00F14EF9"/>
    <w:rsid w:val="00F15C15"/>
    <w:rsid w:val="00F2640B"/>
    <w:rsid w:val="00F343ED"/>
    <w:rsid w:val="00F3555A"/>
    <w:rsid w:val="00F369CF"/>
    <w:rsid w:val="00F54632"/>
    <w:rsid w:val="00F70997"/>
    <w:rsid w:val="00F77F88"/>
    <w:rsid w:val="00F84D76"/>
    <w:rsid w:val="00F96B07"/>
    <w:rsid w:val="00FA0824"/>
    <w:rsid w:val="00FB1AED"/>
    <w:rsid w:val="00FC2637"/>
    <w:rsid w:val="00FD0D7C"/>
    <w:rsid w:val="00FD335E"/>
    <w:rsid w:val="00FD513A"/>
    <w:rsid w:val="00FD7162"/>
    <w:rsid w:val="00FD7E05"/>
    <w:rsid w:val="00FE44D8"/>
    <w:rsid w:val="00FE48C3"/>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2018-05-22T17:58:00Z</cp:lastPrinted>
  <dcterms:created xsi:type="dcterms:W3CDTF">2026-03-04T12:51:00Z</dcterms:created>
  <dcterms:modified xsi:type="dcterms:W3CDTF">2026-03-04T12:57:00Z</dcterms:modified>
</cp:coreProperties>
</file>